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8CC45" w14:textId="77777777" w:rsidR="001B5C8D" w:rsidRPr="006C619C" w:rsidRDefault="001B5C8D" w:rsidP="001B5C8D">
      <w:pPr>
        <w:shd w:val="clear" w:color="auto" w:fill="FFFFFF" w:themeFill="background1"/>
        <w:tabs>
          <w:tab w:val="left" w:pos="1185"/>
        </w:tabs>
        <w:spacing w:line="276" w:lineRule="auto"/>
        <w:rPr>
          <w:b/>
          <w:sz w:val="32"/>
          <w:szCs w:val="20"/>
          <w:highlight w:val="yellow"/>
        </w:rPr>
      </w:pPr>
      <w:r>
        <w:rPr>
          <w:b/>
          <w:sz w:val="32"/>
          <w:szCs w:val="20"/>
        </w:rPr>
        <w:t>Harbor Bridge US 181</w:t>
      </w:r>
    </w:p>
    <w:p w14:paraId="2E414EEE" w14:textId="77777777" w:rsidR="001B5C8D" w:rsidRPr="006C619C" w:rsidRDefault="001B5C8D" w:rsidP="001B5C8D">
      <w:pPr>
        <w:tabs>
          <w:tab w:val="left" w:pos="1185"/>
        </w:tabs>
        <w:spacing w:line="276" w:lineRule="auto"/>
        <w:rPr>
          <w:b/>
          <w:sz w:val="28"/>
          <w:szCs w:val="28"/>
        </w:rPr>
      </w:pPr>
      <w:r>
        <w:rPr>
          <w:b/>
          <w:sz w:val="28"/>
          <w:szCs w:val="28"/>
        </w:rPr>
        <w:t>El puente atirantado más largo de EE. UU.</w:t>
      </w:r>
    </w:p>
    <w:p w14:paraId="1A7DCE77" w14:textId="77777777" w:rsidR="001B5C8D" w:rsidRPr="006C619C" w:rsidRDefault="001B5C8D" w:rsidP="001B5C8D">
      <w:pPr>
        <w:tabs>
          <w:tab w:val="left" w:pos="1185"/>
        </w:tabs>
        <w:spacing w:line="276" w:lineRule="auto"/>
        <w:rPr>
          <w:b/>
        </w:rPr>
      </w:pPr>
    </w:p>
    <w:p w14:paraId="67666213" w14:textId="37D165B9" w:rsidR="001B5C8D" w:rsidRPr="006C619C" w:rsidRDefault="001B5C8D" w:rsidP="001B5C8D">
      <w:pPr>
        <w:spacing w:line="264" w:lineRule="auto"/>
        <w:rPr>
          <w:b/>
        </w:rPr>
      </w:pPr>
      <w:r>
        <w:rPr>
          <w:b/>
        </w:rPr>
        <w:t xml:space="preserve">El tráfico en EE. UU. ha aumentado un 38,4 % en los últimos 25 años. Por ello, son especialmente importantes las medidas de creación o conservación de ejes de transporte </w:t>
      </w:r>
      <w:r w:rsidR="003D199E">
        <w:rPr>
          <w:b/>
        </w:rPr>
        <w:t xml:space="preserve">más </w:t>
      </w:r>
      <w:r>
        <w:rPr>
          <w:b/>
        </w:rPr>
        <w:t xml:space="preserve">seguros y eficientes. En la ciudad de Corpus Christi, en el estado de Texas, se está construyendo el nuevo puente del puerto Harbor Bridge US 181, con capacidades significativamente ampliadas. La experiencia en encofrados de Doka permitirá construir pilones de 164 metros de altura y más de 100 pilares. </w:t>
      </w:r>
    </w:p>
    <w:p w14:paraId="74C39642" w14:textId="1F2EB6CB" w:rsidR="001B5C8D" w:rsidRDefault="001B5C8D" w:rsidP="001B5C8D">
      <w:pPr>
        <w:spacing w:line="264" w:lineRule="auto"/>
        <w:rPr>
          <w:rFonts w:cs="Arial"/>
          <w:color w:val="auto"/>
          <w:szCs w:val="22"/>
          <w:lang w:eastAsia="de-DE"/>
        </w:rPr>
      </w:pPr>
    </w:p>
    <w:p w14:paraId="0E684F13" w14:textId="573EC128" w:rsidR="001B5C8D" w:rsidRDefault="001B5C8D" w:rsidP="001B5C8D">
      <w:pPr>
        <w:spacing w:line="264" w:lineRule="auto"/>
        <w:rPr>
          <w:rFonts w:cs="Arial"/>
          <w:color w:val="auto"/>
          <w:szCs w:val="22"/>
        </w:rPr>
      </w:pPr>
      <w:r>
        <w:rPr>
          <w:color w:val="auto"/>
          <w:szCs w:val="22"/>
        </w:rPr>
        <w:t>El Departamento de Transportes de Texas pidió a la ciudad de Corpus Christi que mejorará la infraestructura en el tramo de la</w:t>
      </w:r>
      <w:r w:rsidR="003D199E">
        <w:rPr>
          <w:color w:val="auto"/>
          <w:szCs w:val="22"/>
        </w:rPr>
        <w:t xml:space="preserve"> carretera federal</w:t>
      </w:r>
      <w:r>
        <w:rPr>
          <w:color w:val="auto"/>
          <w:szCs w:val="22"/>
        </w:rPr>
        <w:t xml:space="preserve"> US-Highway 181 y el Harbor Bridge. El puente existente ya no cumplía con las exigencias actuales, por lo que está en proceso de demolición. El nuevo proyecto de construcción se extiende desde la intersección de Beach Avenue y la US 181 en el norte del puente hasta la intersección de Morgan Avenue y</w:t>
      </w:r>
      <w:r w:rsidR="001C6532">
        <w:rPr>
          <w:color w:val="auto"/>
          <w:szCs w:val="22"/>
        </w:rPr>
        <w:t xml:space="preserve"> la carretera estatal</w:t>
      </w:r>
      <w:r>
        <w:rPr>
          <w:color w:val="auto"/>
          <w:szCs w:val="22"/>
        </w:rPr>
        <w:t xml:space="preserve"> SH 286 al sur. El tráfico se gestionará mejor en el futuro con seis carriles y carriles adicionales para peatones y bicicletas. Disponer de mayor altura de paso libre para barcos también mejora</w:t>
      </w:r>
      <w:r w:rsidR="001C6532">
        <w:rPr>
          <w:color w:val="auto"/>
          <w:szCs w:val="22"/>
        </w:rPr>
        <w:t>rá</w:t>
      </w:r>
      <w:r>
        <w:rPr>
          <w:color w:val="auto"/>
          <w:szCs w:val="22"/>
        </w:rPr>
        <w:t xml:space="preserve"> las oportunidades de desarrollo económico para el puerto de Corpus Christi.</w:t>
      </w:r>
    </w:p>
    <w:p w14:paraId="52AE515C" w14:textId="77777777" w:rsidR="001B5C8D" w:rsidRDefault="001B5C8D" w:rsidP="001B5C8D">
      <w:pPr>
        <w:spacing w:line="264" w:lineRule="auto"/>
        <w:rPr>
          <w:rFonts w:cs="Arial"/>
          <w:color w:val="auto"/>
          <w:szCs w:val="22"/>
          <w:lang w:eastAsia="de-DE"/>
        </w:rPr>
      </w:pPr>
    </w:p>
    <w:p w14:paraId="04741EE0" w14:textId="536EA6A3" w:rsidR="001B5C8D" w:rsidRDefault="001B5C8D" w:rsidP="001B5C8D">
      <w:pPr>
        <w:spacing w:line="264" w:lineRule="auto"/>
        <w:rPr>
          <w:rFonts w:cs="Arial"/>
          <w:color w:val="auto"/>
          <w:szCs w:val="22"/>
        </w:rPr>
      </w:pPr>
      <w:r>
        <w:rPr>
          <w:color w:val="auto"/>
          <w:szCs w:val="22"/>
        </w:rPr>
        <w:t xml:space="preserve">Una vez finalizado, el Harbour Bridge y sus carreteras de conexión serán el puente atirantado más largo de EE. UU., con 10,36 kilómetros, y el tercer puente más largo de este tipo en todo el mundo. Tendrá un </w:t>
      </w:r>
      <w:r w:rsidR="004F6120">
        <w:rPr>
          <w:color w:val="auto"/>
          <w:szCs w:val="22"/>
        </w:rPr>
        <w:t xml:space="preserve">vano </w:t>
      </w:r>
      <w:r>
        <w:rPr>
          <w:color w:val="auto"/>
          <w:szCs w:val="22"/>
        </w:rPr>
        <w:t xml:space="preserve">de 506 metros, que es aproximadamente la longitud de cinco campos y medio de fútbol. Doka impresionó con su capacidad de suministro fiable, así como con una solución global coherente en todas las fases del proyecto de infraestructura. </w:t>
      </w:r>
    </w:p>
    <w:p w14:paraId="75D132CA" w14:textId="77777777" w:rsidR="001B5C8D" w:rsidRDefault="001B5C8D" w:rsidP="001B5C8D">
      <w:pPr>
        <w:spacing w:line="264" w:lineRule="auto"/>
        <w:rPr>
          <w:rFonts w:cs="Arial"/>
          <w:color w:val="auto"/>
          <w:szCs w:val="22"/>
          <w:lang w:eastAsia="de-DE"/>
        </w:rPr>
      </w:pPr>
    </w:p>
    <w:p w14:paraId="75967128" w14:textId="556AF740" w:rsidR="001B5C8D" w:rsidRPr="00762FBE" w:rsidRDefault="00762FBE" w:rsidP="001B5C8D">
      <w:pPr>
        <w:spacing w:line="264" w:lineRule="auto"/>
        <w:rPr>
          <w:rFonts w:cs="Arial"/>
          <w:b/>
          <w:color w:val="auto"/>
          <w:szCs w:val="22"/>
        </w:rPr>
      </w:pPr>
      <w:r>
        <w:rPr>
          <w:b/>
          <w:color w:val="auto"/>
          <w:szCs w:val="22"/>
        </w:rPr>
        <w:t>Más de 100 pilares de distintas formas</w:t>
      </w:r>
    </w:p>
    <w:p w14:paraId="6E2A90D2" w14:textId="56FBABC2" w:rsidR="00A91FA7" w:rsidRPr="00762FBE" w:rsidRDefault="001B5C8D" w:rsidP="001B5C8D">
      <w:pPr>
        <w:spacing w:line="264" w:lineRule="auto"/>
        <w:rPr>
          <w:rFonts w:cs="Arial"/>
          <w:color w:val="auto"/>
          <w:szCs w:val="22"/>
        </w:rPr>
      </w:pPr>
      <w:r>
        <w:rPr>
          <w:color w:val="auto"/>
          <w:szCs w:val="22"/>
        </w:rPr>
        <w:t xml:space="preserve">Para Doka, el alcance del proyecto incluye dos pilones y más de 100 pilares en las zonas de </w:t>
      </w:r>
      <w:r w:rsidR="00BB17C4">
        <w:rPr>
          <w:color w:val="auto"/>
          <w:szCs w:val="22"/>
        </w:rPr>
        <w:t xml:space="preserve">acceso sobre tierra </w:t>
      </w:r>
      <w:r>
        <w:rPr>
          <w:color w:val="auto"/>
          <w:szCs w:val="22"/>
        </w:rPr>
        <w:t>y sus cimientos. Las columnas alcanzan una altura total de hasta 45 metros y se hormigonan en tramos de unos 4,50 metros. Los cinco tipos diferentes de pilares se diferencian por su forma externa y por su perfil completo o hueco.</w:t>
      </w:r>
    </w:p>
    <w:p w14:paraId="2D1560AD" w14:textId="7493E2BF" w:rsidR="009E3328" w:rsidRDefault="009E3328" w:rsidP="001B5C8D">
      <w:pPr>
        <w:spacing w:line="264" w:lineRule="auto"/>
        <w:rPr>
          <w:rFonts w:cs="Arial"/>
          <w:color w:val="auto"/>
          <w:szCs w:val="22"/>
          <w:lang w:eastAsia="de-DE"/>
        </w:rPr>
      </w:pPr>
    </w:p>
    <w:p w14:paraId="26D8DE50" w14:textId="5F313FBC" w:rsidR="009E3328" w:rsidRDefault="00036708" w:rsidP="001B5C8D">
      <w:pPr>
        <w:spacing w:line="264" w:lineRule="auto"/>
        <w:rPr>
          <w:rFonts w:cs="Arial"/>
          <w:color w:val="auto"/>
          <w:szCs w:val="22"/>
        </w:rPr>
      </w:pPr>
      <w:r>
        <w:rPr>
          <w:color w:val="auto"/>
          <w:szCs w:val="22"/>
        </w:rPr>
        <w:t xml:space="preserve">Para conseguir un encofrado eficiente, los técnicos de Doka han diseñado un encofrado a medida de acero especial para cada pilar. Los elementos se han combinado en el exterior con la plataforma </w:t>
      </w:r>
      <w:r w:rsidR="002C7B3F">
        <w:rPr>
          <w:color w:val="auto"/>
          <w:szCs w:val="22"/>
        </w:rPr>
        <w:t xml:space="preserve">trepante </w:t>
      </w:r>
      <w:r>
        <w:rPr>
          <w:color w:val="auto"/>
          <w:szCs w:val="22"/>
        </w:rPr>
        <w:t>Xclimb 60 y en el interior</w:t>
      </w:r>
      <w:r w:rsidR="00BB17C4">
        <w:rPr>
          <w:color w:val="auto"/>
          <w:szCs w:val="22"/>
        </w:rPr>
        <w:t>,</w:t>
      </w:r>
      <w:r>
        <w:rPr>
          <w:color w:val="auto"/>
          <w:szCs w:val="22"/>
        </w:rPr>
        <w:t xml:space="preserve"> con la plataforma </w:t>
      </w:r>
      <w:r w:rsidR="004F6120">
        <w:rPr>
          <w:color w:val="auto"/>
          <w:szCs w:val="22"/>
        </w:rPr>
        <w:t xml:space="preserve">para pozo </w:t>
      </w:r>
      <w:r>
        <w:rPr>
          <w:color w:val="auto"/>
          <w:szCs w:val="22"/>
        </w:rPr>
        <w:t>de Doka. El encofrado y las plataformas se instalaron como una sola unidad con ayuda de la grúa.</w:t>
      </w:r>
    </w:p>
    <w:p w14:paraId="5F8D4DF4" w14:textId="2D6550BD" w:rsidR="009E3328" w:rsidRDefault="009E3328" w:rsidP="001B5C8D">
      <w:pPr>
        <w:spacing w:line="264" w:lineRule="auto"/>
        <w:rPr>
          <w:rFonts w:cs="Arial"/>
          <w:color w:val="auto"/>
          <w:szCs w:val="22"/>
          <w:lang w:eastAsia="de-DE"/>
        </w:rPr>
      </w:pPr>
    </w:p>
    <w:p w14:paraId="4CEF7758" w14:textId="2DD089EF" w:rsidR="0011695C" w:rsidRPr="00762FBE" w:rsidRDefault="008106E0" w:rsidP="001B5C8D">
      <w:pPr>
        <w:spacing w:line="264" w:lineRule="auto"/>
        <w:rPr>
          <w:rFonts w:cs="Arial"/>
          <w:color w:val="auto"/>
          <w:szCs w:val="22"/>
        </w:rPr>
      </w:pPr>
      <w:r>
        <w:rPr>
          <w:color w:val="auto"/>
          <w:szCs w:val="22"/>
        </w:rPr>
        <w:t>El extremo superior de las columnas está compuest</w:t>
      </w:r>
      <w:r w:rsidR="00E92A97">
        <w:rPr>
          <w:color w:val="auto"/>
          <w:szCs w:val="22"/>
        </w:rPr>
        <w:t>o</w:t>
      </w:r>
      <w:r>
        <w:rPr>
          <w:color w:val="auto"/>
          <w:szCs w:val="22"/>
        </w:rPr>
        <w:t xml:space="preserve"> por una cabeza de pilar ancha en forma de V. Como solución de encofrado</w:t>
      </w:r>
      <w:r w:rsidR="00BB17C4">
        <w:rPr>
          <w:color w:val="auto"/>
          <w:szCs w:val="22"/>
        </w:rPr>
        <w:t>,</w:t>
      </w:r>
      <w:r>
        <w:rPr>
          <w:color w:val="auto"/>
          <w:szCs w:val="22"/>
        </w:rPr>
        <w:t xml:space="preserve"> se ha utilizado el encofrado de vigas Top 50 con grandes placas de madera moldeada. Las cargas verticales se transfieren de manera fiable a la sección de hormigonado anterior </w:t>
      </w:r>
      <w:r w:rsidR="00E4279F">
        <w:rPr>
          <w:color w:val="auto"/>
          <w:szCs w:val="22"/>
        </w:rPr>
        <w:t>mediante</w:t>
      </w:r>
      <w:r>
        <w:rPr>
          <w:color w:val="auto"/>
          <w:szCs w:val="22"/>
        </w:rPr>
        <w:t xml:space="preserve"> consolas </w:t>
      </w:r>
      <w:r w:rsidR="00BB17C4">
        <w:rPr>
          <w:color w:val="auto"/>
          <w:szCs w:val="22"/>
        </w:rPr>
        <w:t>sobre</w:t>
      </w:r>
      <w:r>
        <w:rPr>
          <w:color w:val="auto"/>
          <w:szCs w:val="22"/>
        </w:rPr>
        <w:t xml:space="preserve"> una plataforma de trabajo maciza hecha de vigas de acero. Para poder separar el encofrado del hormigón, el diseño integra la correspondiente función de descenso de la plataforma. </w:t>
      </w:r>
    </w:p>
    <w:p w14:paraId="5A2A1D65" w14:textId="51749D0F" w:rsidR="007A7B9D" w:rsidRPr="00762FBE" w:rsidRDefault="00041FA1" w:rsidP="001B5C8D">
      <w:pPr>
        <w:spacing w:line="264" w:lineRule="auto"/>
        <w:rPr>
          <w:rFonts w:cs="Arial"/>
          <w:b/>
          <w:color w:val="auto"/>
          <w:szCs w:val="22"/>
        </w:rPr>
      </w:pPr>
      <w:r>
        <w:rPr>
          <w:b/>
          <w:color w:val="auto"/>
          <w:szCs w:val="22"/>
        </w:rPr>
        <w:lastRenderedPageBreak/>
        <w:t>Los pilones de 164 metros de altura requieren un sistema de encofrado que se adapte a la geometría variable.</w:t>
      </w:r>
    </w:p>
    <w:p w14:paraId="7C50FFCF" w14:textId="1CF7BB5D" w:rsidR="0053252A" w:rsidRDefault="0053252A" w:rsidP="001B5C8D">
      <w:pPr>
        <w:spacing w:line="264" w:lineRule="auto"/>
        <w:rPr>
          <w:rFonts w:cs="Arial"/>
          <w:color w:val="auto"/>
          <w:szCs w:val="22"/>
        </w:rPr>
      </w:pPr>
      <w:r>
        <w:rPr>
          <w:color w:val="auto"/>
          <w:szCs w:val="22"/>
        </w:rPr>
        <w:t>Ambos pilones, de 164 metros de altura cada uno, se dividen en las siguientes áreas: el área inferior, que consta de dos patas de pilón en forma de A, el área de transición en la que se unen ambas patas y la torre de pilón con ciertas exigencias a nivel geométrico.</w:t>
      </w:r>
    </w:p>
    <w:p w14:paraId="1E88B760" w14:textId="7DEF9445" w:rsidR="0053252A" w:rsidRDefault="0053252A" w:rsidP="001B5C8D">
      <w:pPr>
        <w:spacing w:line="264" w:lineRule="auto"/>
        <w:rPr>
          <w:rFonts w:cs="Arial"/>
          <w:color w:val="auto"/>
          <w:szCs w:val="22"/>
          <w:lang w:eastAsia="de-DE"/>
        </w:rPr>
      </w:pPr>
    </w:p>
    <w:p w14:paraId="225AF1E5" w14:textId="34486BC5" w:rsidR="00305F5A" w:rsidRDefault="00305F5A" w:rsidP="001B5C8D">
      <w:pPr>
        <w:spacing w:line="264" w:lineRule="auto"/>
        <w:rPr>
          <w:rFonts w:cs="Arial"/>
          <w:color w:val="auto"/>
          <w:szCs w:val="22"/>
        </w:rPr>
      </w:pPr>
      <w:r>
        <w:rPr>
          <w:color w:val="auto"/>
          <w:szCs w:val="22"/>
        </w:rPr>
        <w:t>Las patas del pilón alcanzan una altura de aproximadamente 50 metros y se dividen en nueve secciones de hormigonado, de 5,5 metros de altura cada una. En el exterior, doce unidades autotrepantes SKE100 plus por cada pata de pilón se encargan de elevar todo el encofrado del muro hasta la siguiente sección de hormigonado sin necesidad de emplear la grúa. De esta manera, se logra ahorrar una valiosa capacidad en la grúa. Con la elevación simultánea de todas las plataformas de trabajo, también se evitan</w:t>
      </w:r>
      <w:r>
        <w:rPr>
          <w:color w:val="auto"/>
        </w:rPr>
        <w:t xml:space="preserve"> los bordes con riesgo de caída, de forma que se mejora la seguridad laboral. La </w:t>
      </w:r>
      <w:r>
        <w:rPr>
          <w:color w:val="auto"/>
          <w:szCs w:val="22"/>
        </w:rPr>
        <w:t xml:space="preserve">plataforma </w:t>
      </w:r>
      <w:r w:rsidR="004F6120">
        <w:rPr>
          <w:color w:val="auto"/>
          <w:szCs w:val="22"/>
        </w:rPr>
        <w:t xml:space="preserve">para pozo </w:t>
      </w:r>
      <w:r>
        <w:rPr>
          <w:color w:val="auto"/>
          <w:szCs w:val="22"/>
        </w:rPr>
        <w:t>de Doka</w:t>
      </w:r>
      <w:r>
        <w:rPr>
          <w:color w:val="auto"/>
        </w:rPr>
        <w:t xml:space="preserve"> se utilizó en el interior de la estructura hueca.</w:t>
      </w:r>
    </w:p>
    <w:p w14:paraId="03DDF06E" w14:textId="77777777" w:rsidR="002F2EF8" w:rsidRDefault="002F2EF8" w:rsidP="00B95EF9">
      <w:pPr>
        <w:spacing w:line="264" w:lineRule="auto"/>
        <w:rPr>
          <w:rFonts w:cs="Arial"/>
          <w:color w:val="auto"/>
          <w:szCs w:val="22"/>
          <w:lang w:eastAsia="de-DE"/>
        </w:rPr>
      </w:pPr>
    </w:p>
    <w:p w14:paraId="6C29C855" w14:textId="595B2527" w:rsidR="00B95EF9" w:rsidRPr="00B95EF9" w:rsidRDefault="005D56FD" w:rsidP="00B95EF9">
      <w:pPr>
        <w:spacing w:line="264" w:lineRule="auto"/>
        <w:rPr>
          <w:rFonts w:cs="Arial"/>
          <w:color w:val="auto"/>
          <w:szCs w:val="22"/>
        </w:rPr>
      </w:pPr>
      <w:r>
        <w:rPr>
          <w:color w:val="auto"/>
          <w:szCs w:val="22"/>
        </w:rPr>
        <w:t xml:space="preserve">El área frente a la unión de las patas del pilón constituye todo un desafío, ya que no ofrece suficiente espacio para la plataforma </w:t>
      </w:r>
      <w:r w:rsidR="004F6120">
        <w:rPr>
          <w:color w:val="auto"/>
          <w:szCs w:val="22"/>
        </w:rPr>
        <w:t xml:space="preserve">para pozo </w:t>
      </w:r>
      <w:r>
        <w:rPr>
          <w:color w:val="auto"/>
          <w:szCs w:val="22"/>
        </w:rPr>
        <w:t>SKE convencional. Por ello, se requería una solución de encofrado especial. El área de transición presenta una altura de unos 13 metros. Aquí es también donde se produce la unión de carreteras, razón por la cual se han utilizado puntales para desviar las fuerzas.</w:t>
      </w:r>
      <w:r>
        <w:rPr>
          <w:color w:val="auto"/>
          <w:szCs w:val="22"/>
          <w:u w:val="single"/>
        </w:rPr>
        <w:t xml:space="preserve"> </w:t>
      </w:r>
    </w:p>
    <w:p w14:paraId="49CEDD37" w14:textId="7D84D69A" w:rsidR="005D56FD" w:rsidRPr="00B95EF9" w:rsidRDefault="005D56FD" w:rsidP="001B5C8D">
      <w:pPr>
        <w:spacing w:line="264" w:lineRule="auto"/>
        <w:rPr>
          <w:rFonts w:cs="Arial"/>
          <w:color w:val="auto"/>
          <w:szCs w:val="22"/>
          <w:lang w:eastAsia="de-DE"/>
        </w:rPr>
      </w:pPr>
    </w:p>
    <w:p w14:paraId="36A54BF4" w14:textId="18AD390A" w:rsidR="005D56FD" w:rsidRPr="00B95EF9" w:rsidRDefault="001B5C8D" w:rsidP="001B5C8D">
      <w:pPr>
        <w:spacing w:line="264" w:lineRule="auto"/>
        <w:rPr>
          <w:rFonts w:cs="Arial"/>
          <w:color w:val="auto"/>
          <w:szCs w:val="22"/>
        </w:rPr>
      </w:pPr>
      <w:r>
        <w:rPr>
          <w:color w:val="auto"/>
          <w:szCs w:val="22"/>
        </w:rPr>
        <w:t xml:space="preserve">Debido a su forma compleja y al objetivo de ahorrar anclajes, se han suministrado vigas </w:t>
      </w:r>
      <w:r w:rsidR="004F6120">
        <w:rPr>
          <w:color w:val="auto"/>
          <w:szCs w:val="22"/>
        </w:rPr>
        <w:t>de tirante</w:t>
      </w:r>
      <w:r>
        <w:rPr>
          <w:color w:val="auto"/>
          <w:szCs w:val="22"/>
        </w:rPr>
        <w:t xml:space="preserve"> a medida para el encofrado de </w:t>
      </w:r>
      <w:r w:rsidR="004F6120">
        <w:rPr>
          <w:color w:val="auto"/>
          <w:szCs w:val="22"/>
        </w:rPr>
        <w:t xml:space="preserve">las </w:t>
      </w:r>
      <w:r>
        <w:rPr>
          <w:color w:val="auto"/>
          <w:szCs w:val="22"/>
        </w:rPr>
        <w:t xml:space="preserve">vigas Top 50. Los caballetes de apoyo horizontales constituyeron una plataforma de trabajo segura y sirvieron para la transferencia de las cargas de hormigón. </w:t>
      </w:r>
    </w:p>
    <w:p w14:paraId="6E42D6F2" w14:textId="77777777" w:rsidR="001B5C8D" w:rsidRPr="00762FBE" w:rsidRDefault="001B5C8D" w:rsidP="001B5C8D">
      <w:pPr>
        <w:spacing w:line="264" w:lineRule="auto"/>
        <w:rPr>
          <w:rFonts w:cs="Arial"/>
          <w:color w:val="auto"/>
          <w:szCs w:val="22"/>
          <w:lang w:eastAsia="de-DE"/>
        </w:rPr>
      </w:pPr>
    </w:p>
    <w:p w14:paraId="7407910D" w14:textId="4871EF60" w:rsidR="000E7E67" w:rsidRDefault="00391004" w:rsidP="001B5C8D">
      <w:pPr>
        <w:spacing w:line="264" w:lineRule="auto"/>
        <w:rPr>
          <w:rFonts w:cs="Arial"/>
          <w:color w:val="auto"/>
          <w:szCs w:val="22"/>
        </w:rPr>
      </w:pPr>
      <w:r>
        <w:rPr>
          <w:color w:val="auto"/>
          <w:szCs w:val="22"/>
        </w:rPr>
        <w:t xml:space="preserve">Para construir la torre del pilón se ha recurrido al hermano pequeño del encofrado autotrepante SKE100 plus, el SKE50 plus. Con una capacidad de elevación de 5 toneladas por unidad </w:t>
      </w:r>
      <w:r w:rsidR="002C7B3F">
        <w:rPr>
          <w:color w:val="auto"/>
          <w:szCs w:val="22"/>
        </w:rPr>
        <w:t>trepante</w:t>
      </w:r>
      <w:r>
        <w:rPr>
          <w:color w:val="auto"/>
          <w:szCs w:val="22"/>
        </w:rPr>
        <w:t>, este sistema transporta la mitad de volumen que el sistema SKE100 plus. El SKE50 plus es un sistema estándar para un gran número de aplicaciones estándar en la construcción de edificios y puentes donde las cargas útiles elevadas en combinación con anchos de influencia amplios no resultan tan decisiv</w:t>
      </w:r>
      <w:r w:rsidR="00E92A97">
        <w:rPr>
          <w:color w:val="auto"/>
          <w:szCs w:val="22"/>
        </w:rPr>
        <w:t>a</w:t>
      </w:r>
      <w:r>
        <w:rPr>
          <w:color w:val="auto"/>
          <w:szCs w:val="22"/>
        </w:rPr>
        <w:t>s.</w:t>
      </w:r>
    </w:p>
    <w:p w14:paraId="06379C78" w14:textId="77777777" w:rsidR="000E7E67" w:rsidRDefault="000E7E67" w:rsidP="001B5C8D">
      <w:pPr>
        <w:spacing w:line="264" w:lineRule="auto"/>
        <w:rPr>
          <w:rFonts w:cs="Arial"/>
          <w:color w:val="auto"/>
          <w:szCs w:val="22"/>
          <w:lang w:eastAsia="de-DE"/>
        </w:rPr>
      </w:pPr>
    </w:p>
    <w:p w14:paraId="471100AF" w14:textId="4E27AC59" w:rsidR="005C526B" w:rsidRDefault="004B6E86" w:rsidP="001B5C8D">
      <w:pPr>
        <w:spacing w:line="264" w:lineRule="auto"/>
        <w:rPr>
          <w:rFonts w:cs="Arial"/>
          <w:color w:val="auto"/>
          <w:szCs w:val="22"/>
        </w:rPr>
      </w:pPr>
      <w:r>
        <w:rPr>
          <w:color w:val="auto"/>
          <w:szCs w:val="22"/>
        </w:rPr>
        <w:t xml:space="preserve">Dado que la torre del pilón se </w:t>
      </w:r>
      <w:r w:rsidR="004F6120">
        <w:rPr>
          <w:color w:val="auto"/>
          <w:szCs w:val="22"/>
        </w:rPr>
        <w:t xml:space="preserve">conifica </w:t>
      </w:r>
      <w:r>
        <w:rPr>
          <w:color w:val="auto"/>
          <w:szCs w:val="22"/>
        </w:rPr>
        <w:t xml:space="preserve">progresivamente hacia la parte superior, al planificar el encofrado hubo que prestar especial atención a este aspecto. Con el fin de reducir al mínimo el trabajo de ajuste en el encofrado para el equipo de obra, los técnicos de encofrado de Doka planificaron un encofrado de vigas Top 50 especial. Los grupos de orificios en las vigas de </w:t>
      </w:r>
      <w:r w:rsidR="004F6120">
        <w:rPr>
          <w:color w:val="auto"/>
          <w:szCs w:val="22"/>
        </w:rPr>
        <w:t xml:space="preserve">tirante </w:t>
      </w:r>
      <w:r>
        <w:rPr>
          <w:color w:val="auto"/>
          <w:szCs w:val="22"/>
        </w:rPr>
        <w:t xml:space="preserve">se eligieron de manera que las posiciones de </w:t>
      </w:r>
      <w:r w:rsidR="004F6120">
        <w:rPr>
          <w:color w:val="auto"/>
          <w:szCs w:val="22"/>
        </w:rPr>
        <w:t xml:space="preserve">fijación </w:t>
      </w:r>
      <w:r>
        <w:rPr>
          <w:color w:val="auto"/>
          <w:szCs w:val="22"/>
        </w:rPr>
        <w:t xml:space="preserve">siempre </w:t>
      </w:r>
      <w:r w:rsidR="004F6120">
        <w:rPr>
          <w:color w:val="auto"/>
          <w:szCs w:val="22"/>
        </w:rPr>
        <w:t>coincidieran con el</w:t>
      </w:r>
      <w:r>
        <w:rPr>
          <w:color w:val="auto"/>
          <w:szCs w:val="22"/>
        </w:rPr>
        <w:t xml:space="preserve"> cono respectivo al cerrar el encofrado.</w:t>
      </w:r>
    </w:p>
    <w:p w14:paraId="7FA9C5BE" w14:textId="2FA69D80" w:rsidR="001B5C8D" w:rsidRPr="00E732B8" w:rsidRDefault="001B5C8D" w:rsidP="001B5C8D">
      <w:pPr>
        <w:spacing w:line="264" w:lineRule="auto"/>
        <w:rPr>
          <w:rFonts w:cs="Arial"/>
          <w:color w:val="auto"/>
          <w:szCs w:val="22"/>
          <w:lang w:eastAsia="de-DE"/>
        </w:rPr>
      </w:pPr>
    </w:p>
    <w:p w14:paraId="2F14062E" w14:textId="77777777" w:rsidR="001B5C8D" w:rsidRDefault="001B5C8D" w:rsidP="001B5C8D">
      <w:pPr>
        <w:spacing w:line="264" w:lineRule="auto"/>
        <w:rPr>
          <w:rFonts w:cs="Arial"/>
          <w:color w:val="auto"/>
          <w:szCs w:val="22"/>
        </w:rPr>
      </w:pPr>
      <w:r>
        <w:rPr>
          <w:color w:val="auto"/>
          <w:szCs w:val="22"/>
        </w:rPr>
        <w:t>Mediante el uso de tecnologías y materiales de construcción de puentes modernos, el objetivo es lograr una vida útil de más de 170 años para el nuevo puente.</w:t>
      </w:r>
    </w:p>
    <w:p w14:paraId="4B8A3DAD" w14:textId="390E2150" w:rsidR="001B5C8D" w:rsidRDefault="001B5C8D" w:rsidP="001B5C8D">
      <w:pPr>
        <w:rPr>
          <w:rFonts w:cs="Arial"/>
          <w:color w:val="auto"/>
          <w:szCs w:val="22"/>
          <w:lang w:eastAsia="de-DE"/>
        </w:rPr>
      </w:pPr>
    </w:p>
    <w:p w14:paraId="6E20DB2B" w14:textId="510B1A54" w:rsidR="006D2A05" w:rsidRDefault="006D2A05" w:rsidP="001B5C8D">
      <w:pPr>
        <w:rPr>
          <w:rFonts w:cs="Arial"/>
          <w:color w:val="auto"/>
          <w:szCs w:val="22"/>
          <w:lang w:eastAsia="de-DE"/>
        </w:rPr>
      </w:pPr>
    </w:p>
    <w:p w14:paraId="31FDEC19" w14:textId="75573DEA" w:rsidR="002F2EF8" w:rsidRDefault="002F2EF8" w:rsidP="001B5C8D">
      <w:pPr>
        <w:rPr>
          <w:rFonts w:cs="Arial"/>
          <w:color w:val="auto"/>
          <w:szCs w:val="22"/>
          <w:lang w:eastAsia="de-DE"/>
        </w:rPr>
      </w:pPr>
    </w:p>
    <w:p w14:paraId="2EEF3B1C" w14:textId="2ABB79D0" w:rsidR="002F2EF8" w:rsidRDefault="002F2EF8" w:rsidP="001B5C8D">
      <w:pPr>
        <w:rPr>
          <w:rFonts w:cs="Arial"/>
          <w:color w:val="auto"/>
          <w:szCs w:val="22"/>
          <w:lang w:eastAsia="de-DE"/>
        </w:rPr>
      </w:pPr>
    </w:p>
    <w:p w14:paraId="753CF5D4" w14:textId="77777777" w:rsidR="002F2EF8" w:rsidRDefault="002F2EF8" w:rsidP="001B5C8D">
      <w:pPr>
        <w:rPr>
          <w:rFonts w:cs="Arial"/>
          <w:color w:val="auto"/>
          <w:szCs w:val="22"/>
          <w:lang w:eastAsia="de-DE"/>
        </w:rPr>
      </w:pPr>
    </w:p>
    <w:p w14:paraId="116CE054" w14:textId="77777777" w:rsidR="001B5C8D" w:rsidRPr="00762FBE" w:rsidRDefault="001B5C8D" w:rsidP="001B5C8D">
      <w:pPr>
        <w:rPr>
          <w:rFonts w:cs="Arial"/>
          <w:i/>
          <w:color w:val="auto"/>
          <w:szCs w:val="22"/>
        </w:rPr>
      </w:pPr>
      <w:r>
        <w:rPr>
          <w:b/>
          <w:sz w:val="20"/>
          <w:szCs w:val="22"/>
        </w:rPr>
        <w:t>En resumen:</w:t>
      </w:r>
    </w:p>
    <w:p w14:paraId="18E6BF20" w14:textId="77777777" w:rsidR="001B5C8D" w:rsidRPr="00762FBE" w:rsidRDefault="001B5C8D" w:rsidP="001B5C8D">
      <w:pPr>
        <w:tabs>
          <w:tab w:val="left" w:pos="2835"/>
        </w:tabs>
        <w:spacing w:line="264" w:lineRule="auto"/>
        <w:contextualSpacing/>
        <w:rPr>
          <w:rFonts w:cs="Arial"/>
          <w:sz w:val="20"/>
          <w:szCs w:val="22"/>
        </w:rPr>
      </w:pPr>
      <w:r>
        <w:rPr>
          <w:sz w:val="20"/>
          <w:szCs w:val="22"/>
        </w:rPr>
        <w:t>Proyecto:</w:t>
      </w:r>
      <w:r>
        <w:rPr>
          <w:sz w:val="20"/>
          <w:szCs w:val="22"/>
        </w:rPr>
        <w:tab/>
        <w:t xml:space="preserve"> Sustitución del puente del puerto US 181</w:t>
      </w:r>
    </w:p>
    <w:p w14:paraId="673EE279" w14:textId="77777777" w:rsidR="001B5C8D" w:rsidRPr="008A2BDD" w:rsidRDefault="001B5C8D" w:rsidP="001B5C8D">
      <w:pPr>
        <w:tabs>
          <w:tab w:val="left" w:pos="2835"/>
          <w:tab w:val="left" w:pos="4986"/>
        </w:tabs>
        <w:spacing w:line="264" w:lineRule="auto"/>
        <w:contextualSpacing/>
        <w:rPr>
          <w:rFonts w:cs="Arial"/>
          <w:sz w:val="20"/>
          <w:szCs w:val="22"/>
        </w:rPr>
      </w:pPr>
      <w:r>
        <w:rPr>
          <w:sz w:val="20"/>
          <w:szCs w:val="22"/>
        </w:rPr>
        <w:t>Localización:</w:t>
      </w:r>
      <w:r>
        <w:rPr>
          <w:sz w:val="20"/>
          <w:szCs w:val="22"/>
        </w:rPr>
        <w:tab/>
        <w:t xml:space="preserve"> Corpus Christi, Texas, EE. UU.</w:t>
      </w:r>
      <w:r>
        <w:rPr>
          <w:sz w:val="20"/>
          <w:szCs w:val="22"/>
        </w:rPr>
        <w:tab/>
      </w:r>
    </w:p>
    <w:p w14:paraId="72833078" w14:textId="6ECE2501" w:rsidR="001B5C8D" w:rsidRDefault="001B5C8D" w:rsidP="001B5C8D">
      <w:pPr>
        <w:tabs>
          <w:tab w:val="left" w:pos="1990"/>
          <w:tab w:val="left" w:pos="2835"/>
        </w:tabs>
        <w:spacing w:line="264" w:lineRule="auto"/>
        <w:contextualSpacing/>
        <w:rPr>
          <w:rFonts w:cs="Arial"/>
          <w:sz w:val="20"/>
          <w:szCs w:val="22"/>
        </w:rPr>
      </w:pPr>
      <w:r>
        <w:rPr>
          <w:sz w:val="20"/>
          <w:szCs w:val="22"/>
        </w:rPr>
        <w:t>Tipo de construcción:</w:t>
      </w:r>
      <w:r>
        <w:rPr>
          <w:sz w:val="20"/>
          <w:szCs w:val="22"/>
        </w:rPr>
        <w:tab/>
      </w:r>
      <w:r>
        <w:rPr>
          <w:sz w:val="20"/>
          <w:szCs w:val="22"/>
        </w:rPr>
        <w:tab/>
        <w:t xml:space="preserve"> </w:t>
      </w:r>
      <w:r w:rsidR="00E92A97">
        <w:rPr>
          <w:sz w:val="20"/>
          <w:szCs w:val="22"/>
        </w:rPr>
        <w:t>P</w:t>
      </w:r>
      <w:r>
        <w:rPr>
          <w:sz w:val="20"/>
          <w:szCs w:val="22"/>
        </w:rPr>
        <w:t>uente atirantado</w:t>
      </w:r>
    </w:p>
    <w:p w14:paraId="2DE756BE" w14:textId="630BC0D9" w:rsidR="001B5C8D" w:rsidRDefault="004F6120" w:rsidP="001B5C8D">
      <w:pPr>
        <w:tabs>
          <w:tab w:val="left" w:pos="1990"/>
          <w:tab w:val="left" w:pos="2835"/>
        </w:tabs>
        <w:spacing w:line="264" w:lineRule="auto"/>
        <w:contextualSpacing/>
        <w:rPr>
          <w:rFonts w:cs="Arial"/>
          <w:sz w:val="20"/>
          <w:szCs w:val="22"/>
        </w:rPr>
      </w:pPr>
      <w:r>
        <w:rPr>
          <w:sz w:val="20"/>
          <w:szCs w:val="22"/>
        </w:rPr>
        <w:t>Vano</w:t>
      </w:r>
      <w:r w:rsidR="001B5C8D">
        <w:rPr>
          <w:sz w:val="20"/>
          <w:szCs w:val="22"/>
        </w:rPr>
        <w:t>:</w:t>
      </w:r>
      <w:r w:rsidR="001B5C8D">
        <w:rPr>
          <w:sz w:val="20"/>
          <w:szCs w:val="22"/>
        </w:rPr>
        <w:tab/>
      </w:r>
      <w:r w:rsidR="001B5C8D">
        <w:rPr>
          <w:sz w:val="20"/>
          <w:szCs w:val="22"/>
        </w:rPr>
        <w:tab/>
        <w:t xml:space="preserve"> 506 m</w:t>
      </w:r>
    </w:p>
    <w:p w14:paraId="1EF78746" w14:textId="77777777" w:rsidR="001B5C8D" w:rsidRPr="00F17A6F" w:rsidRDefault="001B5C8D" w:rsidP="001B5C8D">
      <w:pPr>
        <w:tabs>
          <w:tab w:val="left" w:pos="1990"/>
          <w:tab w:val="left" w:pos="2835"/>
        </w:tabs>
        <w:spacing w:line="264" w:lineRule="auto"/>
        <w:ind w:left="2835" w:hanging="2835"/>
        <w:contextualSpacing/>
        <w:rPr>
          <w:rFonts w:cs="Arial"/>
          <w:sz w:val="20"/>
          <w:szCs w:val="22"/>
        </w:rPr>
      </w:pPr>
      <w:r>
        <w:rPr>
          <w:sz w:val="20"/>
          <w:szCs w:val="22"/>
        </w:rPr>
        <w:t>Longitud:</w:t>
      </w:r>
      <w:r>
        <w:rPr>
          <w:sz w:val="20"/>
          <w:szCs w:val="20"/>
        </w:rPr>
        <w:tab/>
      </w:r>
      <w:r>
        <w:rPr>
          <w:sz w:val="20"/>
          <w:szCs w:val="20"/>
        </w:rPr>
        <w:tab/>
        <w:t xml:space="preserve"> 10,36 kilómetros (puente y carreteras de conexión) </w:t>
      </w:r>
    </w:p>
    <w:p w14:paraId="190D5083" w14:textId="77777777" w:rsidR="001B5C8D" w:rsidRDefault="001B5C8D" w:rsidP="001B5C8D">
      <w:pPr>
        <w:tabs>
          <w:tab w:val="left" w:pos="1990"/>
          <w:tab w:val="left" w:pos="2835"/>
        </w:tabs>
        <w:spacing w:line="264" w:lineRule="auto"/>
        <w:contextualSpacing/>
        <w:rPr>
          <w:rFonts w:cs="Arial"/>
          <w:sz w:val="20"/>
          <w:szCs w:val="22"/>
        </w:rPr>
      </w:pPr>
      <w:r>
        <w:rPr>
          <w:sz w:val="20"/>
          <w:szCs w:val="22"/>
        </w:rPr>
        <w:t>Altura del pilón:</w:t>
      </w:r>
      <w:r>
        <w:rPr>
          <w:sz w:val="20"/>
          <w:szCs w:val="22"/>
        </w:rPr>
        <w:tab/>
      </w:r>
      <w:r>
        <w:rPr>
          <w:sz w:val="20"/>
          <w:szCs w:val="22"/>
        </w:rPr>
        <w:tab/>
        <w:t xml:space="preserve"> 164 m</w:t>
      </w:r>
    </w:p>
    <w:p w14:paraId="2ED68164" w14:textId="77777777" w:rsidR="001B5C8D" w:rsidRPr="00D74E0A" w:rsidRDefault="001B5C8D" w:rsidP="001B5C8D">
      <w:pPr>
        <w:tabs>
          <w:tab w:val="left" w:pos="2835"/>
        </w:tabs>
        <w:spacing w:line="264" w:lineRule="auto"/>
        <w:contextualSpacing/>
        <w:rPr>
          <w:rFonts w:cs="Arial"/>
          <w:sz w:val="20"/>
          <w:szCs w:val="22"/>
        </w:rPr>
      </w:pPr>
      <w:r>
        <w:rPr>
          <w:sz w:val="20"/>
          <w:szCs w:val="22"/>
        </w:rPr>
        <w:t>Solicitante de la construcción:</w:t>
      </w:r>
      <w:r>
        <w:rPr>
          <w:sz w:val="20"/>
          <w:szCs w:val="22"/>
        </w:rPr>
        <w:tab/>
        <w:t xml:space="preserve"> Departamento de Transportes de Texas</w:t>
      </w:r>
    </w:p>
    <w:p w14:paraId="762E9DF6" w14:textId="77777777" w:rsidR="001B5C8D" w:rsidRPr="00D74E0A" w:rsidRDefault="001B5C8D" w:rsidP="001B5C8D">
      <w:pPr>
        <w:tabs>
          <w:tab w:val="left" w:pos="2835"/>
        </w:tabs>
        <w:spacing w:line="264" w:lineRule="auto"/>
        <w:contextualSpacing/>
        <w:rPr>
          <w:rFonts w:cs="Arial"/>
          <w:sz w:val="20"/>
          <w:szCs w:val="22"/>
        </w:rPr>
      </w:pPr>
      <w:r>
        <w:rPr>
          <w:sz w:val="20"/>
          <w:szCs w:val="22"/>
        </w:rPr>
        <w:t>Empresa constructora:</w:t>
      </w:r>
      <w:r>
        <w:rPr>
          <w:sz w:val="20"/>
          <w:szCs w:val="22"/>
        </w:rPr>
        <w:tab/>
        <w:t xml:space="preserve"> Flatiron/Dragados, LLC</w:t>
      </w:r>
    </w:p>
    <w:p w14:paraId="756ECEE4" w14:textId="77777777" w:rsidR="001B5C8D" w:rsidRPr="00D74E0A" w:rsidRDefault="001B5C8D" w:rsidP="001B5C8D">
      <w:pPr>
        <w:tabs>
          <w:tab w:val="left" w:pos="2835"/>
        </w:tabs>
        <w:spacing w:line="264" w:lineRule="auto"/>
        <w:contextualSpacing/>
        <w:rPr>
          <w:rFonts w:cs="Arial"/>
          <w:sz w:val="20"/>
          <w:szCs w:val="22"/>
        </w:rPr>
      </w:pPr>
      <w:r>
        <w:rPr>
          <w:sz w:val="20"/>
          <w:szCs w:val="22"/>
        </w:rPr>
        <w:t>Arquitecto:</w:t>
      </w:r>
      <w:r>
        <w:rPr>
          <w:sz w:val="20"/>
          <w:szCs w:val="22"/>
        </w:rPr>
        <w:tab/>
        <w:t xml:space="preserve"> FIGG</w:t>
      </w:r>
    </w:p>
    <w:p w14:paraId="3703E9A7" w14:textId="77777777" w:rsidR="001B5C8D" w:rsidRDefault="001B5C8D" w:rsidP="001B5C8D">
      <w:pPr>
        <w:tabs>
          <w:tab w:val="left" w:pos="2835"/>
        </w:tabs>
        <w:spacing w:line="264" w:lineRule="auto"/>
        <w:contextualSpacing/>
        <w:rPr>
          <w:rFonts w:cs="Arial"/>
          <w:sz w:val="20"/>
          <w:szCs w:val="22"/>
        </w:rPr>
      </w:pPr>
    </w:p>
    <w:p w14:paraId="2C278A01" w14:textId="54F241F6" w:rsidR="001B5C8D" w:rsidRDefault="001B5C8D" w:rsidP="001B5C8D">
      <w:pPr>
        <w:tabs>
          <w:tab w:val="left" w:pos="2835"/>
        </w:tabs>
        <w:spacing w:line="264" w:lineRule="auto"/>
        <w:ind w:left="2835" w:hanging="2835"/>
        <w:contextualSpacing/>
        <w:rPr>
          <w:rFonts w:cs="Arial"/>
          <w:sz w:val="20"/>
          <w:szCs w:val="22"/>
        </w:rPr>
      </w:pPr>
      <w:r>
        <w:rPr>
          <w:sz w:val="20"/>
          <w:szCs w:val="22"/>
        </w:rPr>
        <w:t>Uso:</w:t>
      </w:r>
      <w:r>
        <w:rPr>
          <w:sz w:val="20"/>
          <w:szCs w:val="22"/>
        </w:rPr>
        <w:tab/>
        <w:t xml:space="preserve">Productos: </w:t>
      </w:r>
      <w:r w:rsidR="00E92A97">
        <w:rPr>
          <w:sz w:val="20"/>
          <w:szCs w:val="22"/>
        </w:rPr>
        <w:t>e</w:t>
      </w:r>
      <w:r>
        <w:rPr>
          <w:sz w:val="20"/>
          <w:szCs w:val="22"/>
        </w:rPr>
        <w:t xml:space="preserve">ncofrado de vigas Top 50, encofrado autotrepante SKE50 plus, encofrado autotrepante SKE100 plus, encofrado trepante guiado Xclimb 60, plataforma </w:t>
      </w:r>
      <w:r w:rsidR="004F6120">
        <w:rPr>
          <w:sz w:val="20"/>
          <w:szCs w:val="22"/>
        </w:rPr>
        <w:t>para pozo</w:t>
      </w:r>
    </w:p>
    <w:p w14:paraId="2CEC2B63" w14:textId="3FD92A86" w:rsidR="001B5C8D" w:rsidRPr="00E00F91" w:rsidRDefault="001B5C8D" w:rsidP="001B5C8D">
      <w:pPr>
        <w:tabs>
          <w:tab w:val="left" w:pos="2835"/>
        </w:tabs>
        <w:spacing w:line="264" w:lineRule="auto"/>
        <w:ind w:left="2835" w:hanging="2835"/>
        <w:contextualSpacing/>
        <w:rPr>
          <w:rFonts w:cs="Arial"/>
          <w:sz w:val="20"/>
          <w:szCs w:val="22"/>
        </w:rPr>
      </w:pPr>
      <w:r>
        <w:rPr>
          <w:sz w:val="20"/>
          <w:szCs w:val="22"/>
        </w:rPr>
        <w:tab/>
        <w:t>Servicios: planificación 3D, coordinación de proyectos, supervisor</w:t>
      </w:r>
    </w:p>
    <w:p w14:paraId="7B49334D" w14:textId="77777777" w:rsidR="001B5C8D" w:rsidRPr="00C15D03" w:rsidRDefault="001B5C8D" w:rsidP="001B5C8D">
      <w:pPr>
        <w:tabs>
          <w:tab w:val="left" w:pos="2835"/>
        </w:tabs>
        <w:spacing w:line="264" w:lineRule="auto"/>
        <w:ind w:left="2835" w:hanging="2835"/>
        <w:rPr>
          <w:rFonts w:cs="Arial"/>
          <w:sz w:val="20"/>
          <w:szCs w:val="22"/>
        </w:rPr>
      </w:pPr>
    </w:p>
    <w:p w14:paraId="6CD556FE" w14:textId="77777777" w:rsidR="001B5C8D" w:rsidRPr="00CC5DB1" w:rsidRDefault="001B5C8D" w:rsidP="001B5C8D">
      <w:pPr>
        <w:rPr>
          <w:b/>
          <w:sz w:val="20"/>
          <w:szCs w:val="20"/>
        </w:rPr>
      </w:pPr>
    </w:p>
    <w:tbl>
      <w:tblPr>
        <w:tblW w:w="0" w:type="auto"/>
        <w:tblLayout w:type="fixed"/>
        <w:tblLook w:val="04A0" w:firstRow="1" w:lastRow="0" w:firstColumn="1" w:lastColumn="0" w:noHBand="0" w:noVBand="1"/>
      </w:tblPr>
      <w:tblGrid>
        <w:gridCol w:w="4111"/>
        <w:gridCol w:w="4157"/>
      </w:tblGrid>
      <w:tr w:rsidR="001B5C8D" w:rsidRPr="004C4EAE" w14:paraId="6F084462" w14:textId="77777777" w:rsidTr="00E73A04">
        <w:trPr>
          <w:trHeight w:val="136"/>
        </w:trPr>
        <w:tc>
          <w:tcPr>
            <w:tcW w:w="8268" w:type="dxa"/>
            <w:gridSpan w:val="2"/>
            <w:tcBorders>
              <w:top w:val="single" w:sz="4" w:space="0" w:color="auto"/>
              <w:left w:val="single" w:sz="4" w:space="0" w:color="auto"/>
              <w:bottom w:val="single" w:sz="4" w:space="0" w:color="auto"/>
              <w:right w:val="single" w:sz="4" w:space="0" w:color="auto"/>
            </w:tcBorders>
          </w:tcPr>
          <w:p w14:paraId="4F774CD4" w14:textId="77777777" w:rsidR="001B5C8D" w:rsidRPr="00C15D03" w:rsidRDefault="001B5C8D" w:rsidP="00E73A04">
            <w:pPr>
              <w:spacing w:line="276" w:lineRule="auto"/>
              <w:rPr>
                <w:b/>
                <w:sz w:val="20"/>
                <w:szCs w:val="16"/>
              </w:rPr>
            </w:pPr>
          </w:p>
          <w:p w14:paraId="2ECB32EA" w14:textId="77777777" w:rsidR="001B5C8D" w:rsidRPr="0028169D" w:rsidRDefault="001B5C8D" w:rsidP="00E73A04">
            <w:pPr>
              <w:spacing w:line="276" w:lineRule="auto"/>
              <w:rPr>
                <w:b/>
                <w:sz w:val="20"/>
                <w:szCs w:val="16"/>
              </w:rPr>
            </w:pPr>
            <w:r>
              <w:rPr>
                <w:b/>
                <w:sz w:val="20"/>
                <w:szCs w:val="16"/>
              </w:rPr>
              <w:t>Fotos:</w:t>
            </w:r>
          </w:p>
          <w:p w14:paraId="446D02F0" w14:textId="77777777" w:rsidR="001B5C8D" w:rsidRPr="0028169D" w:rsidRDefault="001B5C8D" w:rsidP="00E73A04">
            <w:pPr>
              <w:spacing w:line="276" w:lineRule="auto"/>
              <w:rPr>
                <w:rFonts w:cs="Arial"/>
                <w:sz w:val="20"/>
                <w:szCs w:val="20"/>
              </w:rPr>
            </w:pPr>
            <w:r>
              <w:rPr>
                <w:sz w:val="20"/>
                <w:szCs w:val="16"/>
              </w:rPr>
              <w:t>En caso de publicación, rogamos indique la autoría de las imágenes.</w:t>
            </w:r>
          </w:p>
          <w:p w14:paraId="2516996A" w14:textId="77777777" w:rsidR="001B5C8D" w:rsidRPr="004C4EAE" w:rsidRDefault="001B5C8D" w:rsidP="00E73A04">
            <w:pPr>
              <w:spacing w:line="276" w:lineRule="auto"/>
              <w:rPr>
                <w:sz w:val="16"/>
                <w:szCs w:val="16"/>
              </w:rPr>
            </w:pPr>
          </w:p>
        </w:tc>
      </w:tr>
      <w:tr w:rsidR="001B5C8D" w:rsidRPr="002A0E18" w14:paraId="5D73CABA" w14:textId="77777777" w:rsidTr="00E73A04">
        <w:trPr>
          <w:trHeight w:val="2760"/>
        </w:trPr>
        <w:tc>
          <w:tcPr>
            <w:tcW w:w="4111" w:type="dxa"/>
            <w:tcBorders>
              <w:top w:val="single" w:sz="4" w:space="0" w:color="auto"/>
              <w:left w:val="single" w:sz="4" w:space="0" w:color="auto"/>
              <w:bottom w:val="single" w:sz="4" w:space="0" w:color="auto"/>
              <w:right w:val="single" w:sz="4" w:space="0" w:color="auto"/>
            </w:tcBorders>
          </w:tcPr>
          <w:p w14:paraId="2B344B61" w14:textId="77777777" w:rsidR="001B5C8D" w:rsidRDefault="001B5C8D" w:rsidP="00E73A04">
            <w:pPr>
              <w:tabs>
                <w:tab w:val="right" w:pos="3895"/>
              </w:tabs>
              <w:rPr>
                <w:noProof/>
              </w:rPr>
            </w:pPr>
            <w:r>
              <w:rPr>
                <w:noProof/>
                <w:lang w:eastAsia="es-ES"/>
              </w:rPr>
              <w:drawing>
                <wp:inline distT="0" distB="0" distL="0" distR="0" wp14:anchorId="2A13AF75" wp14:editId="503EDF77">
                  <wp:extent cx="1689100" cy="2520950"/>
                  <wp:effectExtent l="0" t="0" r="0" b="0"/>
                  <wp:docPr id="7" name="Grafik 7" descr="US181 Harbor Brid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181 Harbor Bridge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9100" cy="2520950"/>
                          </a:xfrm>
                          <a:prstGeom prst="rect">
                            <a:avLst/>
                          </a:prstGeom>
                          <a:noFill/>
                          <a:ln>
                            <a:noFill/>
                          </a:ln>
                        </pic:spPr>
                      </pic:pic>
                    </a:graphicData>
                  </a:graphic>
                </wp:inline>
              </w:drawing>
            </w:r>
          </w:p>
          <w:p w14:paraId="103C91BF" w14:textId="77777777" w:rsidR="001B5C8D" w:rsidRPr="00F25886" w:rsidRDefault="001B5C8D" w:rsidP="00E73A04">
            <w:pPr>
              <w:tabs>
                <w:tab w:val="right" w:pos="3895"/>
              </w:tabs>
              <w:rPr>
                <w:noProof/>
                <w:sz w:val="6"/>
                <w:szCs w:val="16"/>
              </w:rPr>
            </w:pPr>
          </w:p>
        </w:tc>
        <w:tc>
          <w:tcPr>
            <w:tcW w:w="4157" w:type="dxa"/>
            <w:tcBorders>
              <w:top w:val="single" w:sz="4" w:space="0" w:color="auto"/>
              <w:left w:val="single" w:sz="4" w:space="0" w:color="auto"/>
              <w:bottom w:val="single" w:sz="4" w:space="0" w:color="auto"/>
              <w:right w:val="single" w:sz="4" w:space="0" w:color="auto"/>
            </w:tcBorders>
          </w:tcPr>
          <w:p w14:paraId="7EB00721" w14:textId="77777777" w:rsidR="001B5C8D" w:rsidRPr="00203D0A" w:rsidRDefault="001B5C8D" w:rsidP="00E73A04">
            <w:pPr>
              <w:spacing w:line="276" w:lineRule="auto"/>
              <w:rPr>
                <w:sz w:val="20"/>
                <w:szCs w:val="20"/>
              </w:rPr>
            </w:pPr>
          </w:p>
          <w:p w14:paraId="420E666A" w14:textId="77777777" w:rsidR="001B5C8D" w:rsidRPr="00C03061" w:rsidRDefault="001B5C8D" w:rsidP="00E73A04">
            <w:pPr>
              <w:spacing w:line="276" w:lineRule="auto"/>
              <w:rPr>
                <w:sz w:val="20"/>
                <w:szCs w:val="20"/>
              </w:rPr>
            </w:pPr>
            <w:r>
              <w:rPr>
                <w:sz w:val="20"/>
                <w:szCs w:val="20"/>
              </w:rPr>
              <w:t>Cuando esté terminado, el puente US 181 Harbor Bridge será el puente atirantado más largo de Estados Unidos.</w:t>
            </w:r>
          </w:p>
          <w:p w14:paraId="3D7BB9DD" w14:textId="77777777" w:rsidR="001B5C8D" w:rsidRPr="00A82F3A" w:rsidRDefault="001B5C8D" w:rsidP="00E73A04">
            <w:pPr>
              <w:spacing w:line="276" w:lineRule="auto"/>
              <w:rPr>
                <w:sz w:val="20"/>
                <w:szCs w:val="20"/>
              </w:rPr>
            </w:pPr>
          </w:p>
          <w:p w14:paraId="4E962674" w14:textId="4F25CA36" w:rsidR="001B5C8D" w:rsidRPr="003E6636" w:rsidRDefault="001B5C8D" w:rsidP="00E73A04">
            <w:pPr>
              <w:spacing w:line="276" w:lineRule="auto"/>
              <w:rPr>
                <w:sz w:val="20"/>
                <w:szCs w:val="20"/>
              </w:rPr>
            </w:pPr>
            <w:r>
              <w:rPr>
                <w:sz w:val="20"/>
                <w:szCs w:val="20"/>
              </w:rPr>
              <w:t>Foto: US 181 Harbor Bridge_1.jpg</w:t>
            </w:r>
          </w:p>
          <w:p w14:paraId="714E21CE" w14:textId="77777777" w:rsidR="001B5C8D" w:rsidRPr="00C8260A" w:rsidRDefault="001B5C8D" w:rsidP="00E73A04">
            <w:pPr>
              <w:spacing w:line="276" w:lineRule="auto"/>
              <w:rPr>
                <w:sz w:val="20"/>
                <w:szCs w:val="20"/>
                <w:highlight w:val="yellow"/>
              </w:rPr>
            </w:pPr>
            <w:r>
              <w:rPr>
                <w:sz w:val="20"/>
                <w:szCs w:val="20"/>
                <w:shd w:val="clear" w:color="auto" w:fill="FFFFFF" w:themeFill="background1"/>
              </w:rPr>
              <w:t>Copyright: Doka</w:t>
            </w:r>
          </w:p>
        </w:tc>
      </w:tr>
      <w:tr w:rsidR="001B5C8D" w:rsidRPr="006C3147" w14:paraId="293346FE" w14:textId="77777777" w:rsidTr="00E73A04">
        <w:trPr>
          <w:trHeight w:val="1503"/>
        </w:trPr>
        <w:tc>
          <w:tcPr>
            <w:tcW w:w="4111" w:type="dxa"/>
            <w:tcBorders>
              <w:top w:val="single" w:sz="4" w:space="0" w:color="auto"/>
              <w:left w:val="single" w:sz="4" w:space="0" w:color="auto"/>
              <w:bottom w:val="single" w:sz="4" w:space="0" w:color="auto"/>
              <w:right w:val="single" w:sz="4" w:space="0" w:color="auto"/>
            </w:tcBorders>
          </w:tcPr>
          <w:p w14:paraId="3E353B2E" w14:textId="77777777" w:rsidR="001B5C8D" w:rsidRPr="00FF20A7" w:rsidRDefault="001B5C8D" w:rsidP="00E73A04">
            <w:pPr>
              <w:spacing w:line="276" w:lineRule="auto"/>
              <w:rPr>
                <w:noProof/>
                <w:sz w:val="6"/>
              </w:rPr>
            </w:pPr>
            <w:r>
              <w:rPr>
                <w:noProof/>
                <w:lang w:eastAsia="es-ES"/>
              </w:rPr>
              <w:lastRenderedPageBreak/>
              <w:drawing>
                <wp:inline distT="0" distB="0" distL="0" distR="0" wp14:anchorId="170FA868" wp14:editId="4EBC5EE5">
                  <wp:extent cx="2520950" cy="1682750"/>
                  <wp:effectExtent l="0" t="0" r="0" b="0"/>
                  <wp:docPr id="6" name="Grafik 6" descr="US181 Harbor Brid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181 Harbor Bridge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950" cy="1682750"/>
                          </a:xfrm>
                          <a:prstGeom prst="rect">
                            <a:avLst/>
                          </a:prstGeom>
                          <a:noFill/>
                          <a:ln>
                            <a:noFill/>
                          </a:ln>
                        </pic:spPr>
                      </pic:pic>
                    </a:graphicData>
                  </a:graphic>
                </wp:inline>
              </w:drawing>
            </w:r>
          </w:p>
        </w:tc>
        <w:tc>
          <w:tcPr>
            <w:tcW w:w="4157" w:type="dxa"/>
            <w:tcBorders>
              <w:top w:val="single" w:sz="4" w:space="0" w:color="auto"/>
              <w:left w:val="single" w:sz="4" w:space="0" w:color="auto"/>
              <w:bottom w:val="single" w:sz="4" w:space="0" w:color="auto"/>
              <w:right w:val="single" w:sz="4" w:space="0" w:color="auto"/>
            </w:tcBorders>
          </w:tcPr>
          <w:p w14:paraId="1B2C25FC" w14:textId="77777777" w:rsidR="001B5C8D" w:rsidRPr="00B95EF9" w:rsidRDefault="001B5C8D" w:rsidP="00E73A04">
            <w:pPr>
              <w:spacing w:line="276" w:lineRule="auto"/>
              <w:rPr>
                <w:sz w:val="20"/>
                <w:szCs w:val="20"/>
                <w:lang w:val="en-US"/>
              </w:rPr>
            </w:pPr>
          </w:p>
          <w:p w14:paraId="56A820A5" w14:textId="6CD9613E" w:rsidR="005D56FD" w:rsidRPr="00B95EF9" w:rsidRDefault="001B5C8D" w:rsidP="00E73A04">
            <w:pPr>
              <w:spacing w:line="276" w:lineRule="auto"/>
              <w:rPr>
                <w:sz w:val="20"/>
                <w:szCs w:val="20"/>
              </w:rPr>
            </w:pPr>
            <w:r>
              <w:rPr>
                <w:sz w:val="20"/>
                <w:szCs w:val="20"/>
              </w:rPr>
              <w:t xml:space="preserve">Dado que el diseño se estrecha hacia la parte superior, se requirieron plataformas </w:t>
            </w:r>
            <w:r w:rsidR="004F6120">
              <w:rPr>
                <w:sz w:val="20"/>
                <w:szCs w:val="20"/>
              </w:rPr>
              <w:t xml:space="preserve">para pozo </w:t>
            </w:r>
            <w:r>
              <w:rPr>
                <w:sz w:val="20"/>
                <w:szCs w:val="20"/>
              </w:rPr>
              <w:t xml:space="preserve">SKE50plus hechas a medida. Gracias a la solución de caballete de apoyo horizontal, fue posible disponer de una plataforma de trabajo y una transferencia de carga seguras. </w:t>
            </w:r>
          </w:p>
          <w:p w14:paraId="0490A2A1" w14:textId="28D9FF3D" w:rsidR="001B5C8D" w:rsidRPr="00B95EF9" w:rsidRDefault="001B5C8D" w:rsidP="00E73A04">
            <w:pPr>
              <w:spacing w:line="276" w:lineRule="auto"/>
              <w:rPr>
                <w:sz w:val="20"/>
                <w:szCs w:val="20"/>
              </w:rPr>
            </w:pPr>
          </w:p>
          <w:p w14:paraId="3BBBA2E0" w14:textId="77CB5374" w:rsidR="001B5C8D" w:rsidRPr="002A0E18" w:rsidRDefault="001B5C8D" w:rsidP="00E73A04">
            <w:pPr>
              <w:spacing w:line="276" w:lineRule="auto"/>
              <w:rPr>
                <w:sz w:val="20"/>
                <w:szCs w:val="20"/>
              </w:rPr>
            </w:pPr>
            <w:r>
              <w:rPr>
                <w:sz w:val="20"/>
                <w:szCs w:val="20"/>
              </w:rPr>
              <w:t>Foto: US 181 Harbor Bridge_2.jpg</w:t>
            </w:r>
          </w:p>
          <w:p w14:paraId="2864418B" w14:textId="77777777" w:rsidR="001B5C8D" w:rsidRPr="00B95EF9" w:rsidRDefault="001B5C8D" w:rsidP="00E73A04">
            <w:pPr>
              <w:spacing w:line="276" w:lineRule="auto"/>
              <w:rPr>
                <w:sz w:val="20"/>
                <w:szCs w:val="20"/>
              </w:rPr>
            </w:pPr>
            <w:r>
              <w:rPr>
                <w:sz w:val="20"/>
                <w:szCs w:val="20"/>
              </w:rPr>
              <w:t xml:space="preserve">Copyright: </w:t>
            </w:r>
            <w:r>
              <w:rPr>
                <w:sz w:val="20"/>
                <w:szCs w:val="20"/>
                <w:shd w:val="clear" w:color="auto" w:fill="FFFFFF" w:themeFill="background1"/>
              </w:rPr>
              <w:t>Doka</w:t>
            </w:r>
          </w:p>
        </w:tc>
      </w:tr>
      <w:tr w:rsidR="001B5C8D" w:rsidRPr="00302233" w14:paraId="17A0B886" w14:textId="77777777" w:rsidTr="00E73A04">
        <w:trPr>
          <w:trHeight w:val="1503"/>
        </w:trPr>
        <w:tc>
          <w:tcPr>
            <w:tcW w:w="4111" w:type="dxa"/>
            <w:tcBorders>
              <w:top w:val="single" w:sz="4" w:space="0" w:color="auto"/>
              <w:left w:val="single" w:sz="4" w:space="0" w:color="auto"/>
              <w:bottom w:val="single" w:sz="4" w:space="0" w:color="auto"/>
              <w:right w:val="single" w:sz="4" w:space="0" w:color="auto"/>
            </w:tcBorders>
          </w:tcPr>
          <w:p w14:paraId="2F373B6B" w14:textId="77777777" w:rsidR="001B5C8D" w:rsidRPr="00327674" w:rsidRDefault="001B5C8D" w:rsidP="00E73A04">
            <w:pPr>
              <w:spacing w:line="276" w:lineRule="auto"/>
              <w:rPr>
                <w:noProof/>
                <w:sz w:val="16"/>
                <w:szCs w:val="16"/>
              </w:rPr>
            </w:pPr>
            <w:r>
              <w:rPr>
                <w:noProof/>
                <w:sz w:val="16"/>
                <w:szCs w:val="16"/>
                <w:lang w:eastAsia="es-ES"/>
              </w:rPr>
              <w:drawing>
                <wp:inline distT="0" distB="0" distL="0" distR="0" wp14:anchorId="2B914B1D" wp14:editId="7FFB5BCB">
                  <wp:extent cx="2533650" cy="1689100"/>
                  <wp:effectExtent l="0" t="0" r="0" b="0"/>
                  <wp:docPr id="5" name="Grafik 5" descr="US 181 Harbor Bridge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 181 Harbor Bridge_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3650" cy="1689100"/>
                          </a:xfrm>
                          <a:prstGeom prst="rect">
                            <a:avLst/>
                          </a:prstGeom>
                          <a:noFill/>
                          <a:ln>
                            <a:noFill/>
                          </a:ln>
                        </pic:spPr>
                      </pic:pic>
                    </a:graphicData>
                  </a:graphic>
                </wp:inline>
              </w:drawing>
            </w:r>
          </w:p>
        </w:tc>
        <w:tc>
          <w:tcPr>
            <w:tcW w:w="4157" w:type="dxa"/>
            <w:tcBorders>
              <w:top w:val="single" w:sz="4" w:space="0" w:color="auto"/>
              <w:left w:val="single" w:sz="4" w:space="0" w:color="auto"/>
              <w:bottom w:val="single" w:sz="4" w:space="0" w:color="auto"/>
              <w:right w:val="single" w:sz="4" w:space="0" w:color="auto"/>
            </w:tcBorders>
          </w:tcPr>
          <w:p w14:paraId="74EF33BC" w14:textId="77777777" w:rsidR="001B5C8D" w:rsidRPr="00C8260A" w:rsidRDefault="001B5C8D" w:rsidP="00E73A04">
            <w:pPr>
              <w:spacing w:line="276" w:lineRule="auto"/>
              <w:rPr>
                <w:sz w:val="20"/>
                <w:szCs w:val="20"/>
                <w:highlight w:val="yellow"/>
              </w:rPr>
            </w:pPr>
            <w:r>
              <w:rPr>
                <w:noProof/>
                <w:sz w:val="16"/>
                <w:szCs w:val="20"/>
                <w:highlight w:val="yellow"/>
                <w:lang w:eastAsia="es-ES"/>
              </w:rPr>
              <w:drawing>
                <wp:inline distT="0" distB="0" distL="0" distR="0" wp14:anchorId="68FD66CA" wp14:editId="5C5D50E3">
                  <wp:extent cx="2501900" cy="1689100"/>
                  <wp:effectExtent l="0" t="0" r="0" b="0"/>
                  <wp:docPr id="4" name="Grafik 4" descr="US 181 Harbor Bridg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 181 Harbor Bridge_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0" cy="1689100"/>
                          </a:xfrm>
                          <a:prstGeom prst="rect">
                            <a:avLst/>
                          </a:prstGeom>
                          <a:noFill/>
                          <a:ln>
                            <a:noFill/>
                          </a:ln>
                        </pic:spPr>
                      </pic:pic>
                    </a:graphicData>
                  </a:graphic>
                </wp:inline>
              </w:drawing>
            </w:r>
          </w:p>
        </w:tc>
      </w:tr>
      <w:tr w:rsidR="001B5C8D" w:rsidRPr="00302233" w14:paraId="15175FE9" w14:textId="77777777" w:rsidTr="00E73A04">
        <w:trPr>
          <w:trHeight w:val="1503"/>
        </w:trPr>
        <w:tc>
          <w:tcPr>
            <w:tcW w:w="8268" w:type="dxa"/>
            <w:gridSpan w:val="2"/>
            <w:tcBorders>
              <w:top w:val="single" w:sz="4" w:space="0" w:color="auto"/>
              <w:left w:val="single" w:sz="4" w:space="0" w:color="auto"/>
              <w:bottom w:val="single" w:sz="4" w:space="0" w:color="auto"/>
              <w:right w:val="single" w:sz="4" w:space="0" w:color="auto"/>
            </w:tcBorders>
          </w:tcPr>
          <w:p w14:paraId="0BD39EA9" w14:textId="77777777" w:rsidR="001B5C8D" w:rsidRDefault="001B5C8D" w:rsidP="00E73A04">
            <w:pPr>
              <w:spacing w:line="276" w:lineRule="auto"/>
              <w:rPr>
                <w:sz w:val="20"/>
                <w:szCs w:val="20"/>
              </w:rPr>
            </w:pPr>
          </w:p>
          <w:p w14:paraId="507A72CA" w14:textId="5D42CA9B" w:rsidR="001B5C8D" w:rsidRDefault="00A82F3A" w:rsidP="00E73A04">
            <w:pPr>
              <w:spacing w:line="276" w:lineRule="auto"/>
              <w:rPr>
                <w:sz w:val="20"/>
                <w:szCs w:val="20"/>
              </w:rPr>
            </w:pPr>
            <w:r>
              <w:rPr>
                <w:sz w:val="20"/>
                <w:szCs w:val="20"/>
              </w:rPr>
              <w:t xml:space="preserve">Los dos pilones con una altura de 164 metros cada uno se dividen en las patas del pilón en forma de A y el propio pilón en la zona superior. </w:t>
            </w:r>
          </w:p>
          <w:p w14:paraId="04928E79" w14:textId="77777777" w:rsidR="001B5C8D" w:rsidRPr="00C03061" w:rsidRDefault="001B5C8D" w:rsidP="00E73A04">
            <w:pPr>
              <w:spacing w:line="276" w:lineRule="auto"/>
              <w:rPr>
                <w:sz w:val="20"/>
                <w:szCs w:val="20"/>
              </w:rPr>
            </w:pPr>
          </w:p>
          <w:p w14:paraId="05705854" w14:textId="0E6174E4" w:rsidR="001B5C8D" w:rsidRPr="003E6636" w:rsidRDefault="001B5C8D" w:rsidP="00E73A04">
            <w:pPr>
              <w:spacing w:line="276" w:lineRule="auto"/>
              <w:rPr>
                <w:sz w:val="20"/>
                <w:szCs w:val="20"/>
              </w:rPr>
            </w:pPr>
            <w:r>
              <w:rPr>
                <w:sz w:val="20"/>
                <w:szCs w:val="20"/>
              </w:rPr>
              <w:t>Foto: US 181 Harbor Bridge_3.jpg, US 181 Harbor Bridge_4.jpg</w:t>
            </w:r>
          </w:p>
          <w:p w14:paraId="41F953F9" w14:textId="77777777" w:rsidR="001B5C8D" w:rsidRPr="00C8260A" w:rsidRDefault="001B5C8D" w:rsidP="00E73A04">
            <w:pPr>
              <w:spacing w:line="276" w:lineRule="auto"/>
              <w:rPr>
                <w:sz w:val="20"/>
                <w:szCs w:val="20"/>
                <w:highlight w:val="yellow"/>
              </w:rPr>
            </w:pPr>
            <w:r>
              <w:rPr>
                <w:sz w:val="20"/>
                <w:szCs w:val="20"/>
                <w:shd w:val="clear" w:color="auto" w:fill="FFFFFF" w:themeFill="background1"/>
              </w:rPr>
              <w:t>Copyright: Doka</w:t>
            </w:r>
          </w:p>
        </w:tc>
      </w:tr>
    </w:tbl>
    <w:p w14:paraId="3CC72910" w14:textId="77777777" w:rsidR="001B5C8D" w:rsidRPr="00826F2A" w:rsidRDefault="001B5C8D" w:rsidP="001B5C8D">
      <w:pPr>
        <w:rPr>
          <w:b/>
          <w:sz w:val="20"/>
          <w:szCs w:val="20"/>
          <w:lang w:val="en-US"/>
        </w:rPr>
      </w:pPr>
    </w:p>
    <w:p w14:paraId="3F7F263A" w14:textId="77777777" w:rsidR="001B5C8D" w:rsidRPr="001E41F5" w:rsidRDefault="001B5C8D" w:rsidP="001B5C8D">
      <w:pPr>
        <w:rPr>
          <w:b/>
          <w:sz w:val="20"/>
          <w:szCs w:val="20"/>
        </w:rPr>
      </w:pPr>
      <w:r>
        <w:rPr>
          <w:b/>
          <w:sz w:val="20"/>
          <w:szCs w:val="20"/>
        </w:rPr>
        <w:t>Acerca de Doka:</w:t>
      </w:r>
    </w:p>
    <w:p w14:paraId="0BEA49A1" w14:textId="6A74706C" w:rsidR="001B5C8D" w:rsidRDefault="001B5C8D" w:rsidP="001B5C8D">
      <w:pPr>
        <w:rPr>
          <w:rFonts w:cs="Arial"/>
          <w:sz w:val="20"/>
          <w:szCs w:val="20"/>
        </w:rPr>
      </w:pPr>
      <w:r>
        <w:rPr>
          <w:sz w:val="20"/>
          <w:szCs w:val="20"/>
        </w:rPr>
        <w:t xml:space="preserve">Doka es una de las empresas líderes a nivel mundial en el desarrollo, </w:t>
      </w:r>
      <w:r w:rsidR="004F6120">
        <w:rPr>
          <w:sz w:val="20"/>
          <w:szCs w:val="20"/>
        </w:rPr>
        <w:t xml:space="preserve">la </w:t>
      </w:r>
      <w:r>
        <w:rPr>
          <w:sz w:val="20"/>
          <w:szCs w:val="20"/>
        </w:rPr>
        <w:t>fabricación y comercialización de tecnología de encofrado para todos los ámbitos de la construcción. Con más de 160 centros de venta y logística en más de 70 países, Doka dispone de una eficiente red de distribución que garantiza un suministro rápido y profesional de material y asistencia técnica. Doka es una empresa del Grupo Umdasch y emplea a 7</w:t>
      </w:r>
      <w:bookmarkStart w:id="0" w:name="_GoBack"/>
      <w:bookmarkEnd w:id="0"/>
      <w:r>
        <w:rPr>
          <w:sz w:val="20"/>
          <w:szCs w:val="20"/>
        </w:rPr>
        <w:t>400 personas en todo el mundo.</w:t>
      </w:r>
    </w:p>
    <w:p w14:paraId="36174EB3" w14:textId="77777777" w:rsidR="001B5C8D" w:rsidRDefault="001B5C8D" w:rsidP="001B5C8D">
      <w:pPr>
        <w:tabs>
          <w:tab w:val="left" w:pos="2835"/>
        </w:tabs>
        <w:spacing w:line="264" w:lineRule="auto"/>
        <w:rPr>
          <w:rFonts w:cs="Arial"/>
          <w:sz w:val="20"/>
          <w:szCs w:val="20"/>
          <w:lang w:val="de-AT"/>
        </w:rPr>
      </w:pPr>
    </w:p>
    <w:p w14:paraId="3732FF1F" w14:textId="77777777" w:rsidR="001B5C8D" w:rsidRPr="00826F2A" w:rsidRDefault="001B5C8D" w:rsidP="001B5C8D">
      <w:pPr>
        <w:tabs>
          <w:tab w:val="left" w:pos="2835"/>
        </w:tabs>
        <w:spacing w:line="264" w:lineRule="auto"/>
        <w:rPr>
          <w:rFonts w:cs="Arial"/>
          <w:sz w:val="20"/>
          <w:szCs w:val="22"/>
        </w:rPr>
      </w:pPr>
      <w:r>
        <w:rPr>
          <w:b/>
          <w:sz w:val="20"/>
          <w:szCs w:val="20"/>
        </w:rPr>
        <w:t>Contacto de prensa</w:t>
      </w:r>
    </w:p>
    <w:p w14:paraId="3A7216CA" w14:textId="77777777" w:rsidR="001B5C8D" w:rsidRPr="00826F2A" w:rsidRDefault="001B5C8D" w:rsidP="001B5C8D">
      <w:pPr>
        <w:rPr>
          <w:rFonts w:cs="Arial"/>
          <w:b/>
          <w:sz w:val="20"/>
          <w:szCs w:val="20"/>
        </w:rPr>
      </w:pPr>
      <w:r>
        <w:rPr>
          <w:b/>
          <w:sz w:val="20"/>
          <w:szCs w:val="20"/>
        </w:rPr>
        <w:t>Doka</w:t>
      </w:r>
    </w:p>
    <w:p w14:paraId="45E104A5" w14:textId="77777777" w:rsidR="001B5C8D" w:rsidRPr="00826F2A" w:rsidRDefault="001B5C8D" w:rsidP="001B5C8D">
      <w:pPr>
        <w:rPr>
          <w:rFonts w:cs="Arial"/>
          <w:bCs/>
          <w:sz w:val="20"/>
          <w:szCs w:val="20"/>
        </w:rPr>
      </w:pPr>
      <w:r>
        <w:rPr>
          <w:bCs/>
          <w:sz w:val="20"/>
          <w:szCs w:val="20"/>
        </w:rPr>
        <w:t>Michael Fuker</w:t>
      </w:r>
    </w:p>
    <w:p w14:paraId="647C0FCC" w14:textId="77777777" w:rsidR="001B5C8D" w:rsidRPr="00826F2A" w:rsidRDefault="001B5C8D" w:rsidP="001B5C8D">
      <w:pPr>
        <w:rPr>
          <w:rFonts w:cs="Arial"/>
          <w:sz w:val="20"/>
          <w:szCs w:val="20"/>
        </w:rPr>
      </w:pPr>
      <w:r>
        <w:rPr>
          <w:sz w:val="20"/>
          <w:szCs w:val="20"/>
        </w:rPr>
        <w:t>Responsable de Relaciones Públicas</w:t>
      </w:r>
    </w:p>
    <w:p w14:paraId="0676E77E" w14:textId="77777777" w:rsidR="001B5C8D" w:rsidRPr="00D64C21" w:rsidRDefault="001B5C8D" w:rsidP="001B5C8D">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1A9B9335" w14:textId="77777777" w:rsidR="001B5C8D" w:rsidRPr="00D64C21" w:rsidRDefault="001A74E7" w:rsidP="001B5C8D">
      <w:pPr>
        <w:rPr>
          <w:rFonts w:cs="Arial"/>
          <w:sz w:val="20"/>
          <w:szCs w:val="20"/>
        </w:rPr>
      </w:pPr>
      <w:hyperlink r:id="rId12" w:history="1">
        <w:r w:rsidR="00DE0AD5">
          <w:rPr>
            <w:rStyle w:val="Hipervnculo"/>
            <w:sz w:val="20"/>
            <w:szCs w:val="20"/>
          </w:rPr>
          <w:t>press@doka.com</w:t>
        </w:r>
      </w:hyperlink>
    </w:p>
    <w:p w14:paraId="5D6B2833" w14:textId="77777777" w:rsidR="001B5C8D" w:rsidRPr="00DC1C76" w:rsidRDefault="001B5C8D" w:rsidP="001B5C8D">
      <w:pPr>
        <w:autoSpaceDE w:val="0"/>
        <w:autoSpaceDN w:val="0"/>
        <w:adjustRightInd w:val="0"/>
        <w:rPr>
          <w:rFonts w:ascii="Segoe UI" w:hAnsi="Segoe UI" w:cs="Segoe UI"/>
          <w:sz w:val="20"/>
          <w:szCs w:val="20"/>
          <w:lang w:eastAsia="de-DE"/>
        </w:rPr>
      </w:pPr>
    </w:p>
    <w:p w14:paraId="72F22575" w14:textId="77777777" w:rsidR="0088590F" w:rsidRPr="002C3B72" w:rsidRDefault="0088590F" w:rsidP="002C3B72"/>
    <w:sectPr w:rsidR="0088590F" w:rsidRPr="002C3B72"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0DE0F" w14:textId="77777777" w:rsidR="001A74E7" w:rsidRDefault="001A74E7">
      <w:r>
        <w:separator/>
      </w:r>
    </w:p>
  </w:endnote>
  <w:endnote w:type="continuationSeparator" w:id="0">
    <w:p w14:paraId="1D4FC505" w14:textId="77777777" w:rsidR="001A74E7" w:rsidRDefault="001A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6A295" w14:textId="77777777" w:rsidR="001A74E7" w:rsidRDefault="001A74E7">
      <w:r>
        <w:separator/>
      </w:r>
    </w:p>
  </w:footnote>
  <w:footnote w:type="continuationSeparator" w:id="0">
    <w:p w14:paraId="54168284" w14:textId="77777777" w:rsidR="001A74E7" w:rsidRDefault="001A7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8CBDC" w14:textId="0F873863" w:rsidR="00E73A04" w:rsidRDefault="001B5C8D" w:rsidP="00E73A04">
    <w:pPr>
      <w:pStyle w:val="Encabezado"/>
      <w:tabs>
        <w:tab w:val="left" w:pos="269"/>
      </w:tabs>
    </w:pPr>
    <w:r>
      <w:rPr>
        <w:b/>
        <w:noProof/>
        <w:lang w:eastAsia="es-ES"/>
      </w:rPr>
      <w:drawing>
        <wp:anchor distT="0" distB="0" distL="114300" distR="114300" simplePos="0" relativeHeight="251659264" behindDoc="0" locked="0" layoutInCell="1" allowOverlap="1" wp14:anchorId="3303EB2B" wp14:editId="3861A25E">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Comunicado de prensa</w:t>
    </w:r>
    <w:r>
      <w:t xml:space="preserve"> / Agosto de 2020</w:t>
    </w:r>
  </w:p>
  <w:p w14:paraId="52B188BE" w14:textId="77777777" w:rsidR="00E73A04" w:rsidRDefault="00E73A04" w:rsidP="00E73A04">
    <w:pPr>
      <w:pStyle w:val="Encabezado"/>
    </w:pPr>
  </w:p>
  <w:p w14:paraId="7FD7C859" w14:textId="77777777" w:rsidR="00E73A04" w:rsidRPr="00E43CB4" w:rsidRDefault="00E73A04" w:rsidP="00E73A04">
    <w:pPr>
      <w:pStyle w:val="Encabezado"/>
      <w:jc w:val="right"/>
    </w:pPr>
  </w:p>
  <w:p w14:paraId="142DEAAE" w14:textId="77777777" w:rsidR="00E73A04" w:rsidRDefault="00E73A04" w:rsidP="00E73A04">
    <w:pPr>
      <w:pStyle w:val="Encabezado"/>
      <w:jc w:val="right"/>
    </w:pPr>
  </w:p>
  <w:p w14:paraId="4090E1DD" w14:textId="77777777" w:rsidR="00E73A04" w:rsidRDefault="00E73A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Ttulo1"/>
      <w:lvlText w:val="%1."/>
      <w:lvlJc w:val="left"/>
      <w:pPr>
        <w:tabs>
          <w:tab w:val="num" w:pos="360"/>
        </w:tabs>
        <w:ind w:left="0" w:firstLine="0"/>
      </w:pPr>
      <w:rPr>
        <w:rFonts w:ascii="Arial" w:hAnsi="Arial" w:hint="default"/>
        <w:b/>
        <w:i w:val="0"/>
        <w:sz w:val="22"/>
        <w:u w:val="single"/>
      </w:rPr>
    </w:lvl>
    <w:lvl w:ilvl="1">
      <w:start w:val="1"/>
      <w:numFmt w:val="decimal"/>
      <w:pStyle w:val="Ttulo2"/>
      <w:lvlText w:val="%1.%2"/>
      <w:lvlJc w:val="left"/>
      <w:pPr>
        <w:tabs>
          <w:tab w:val="num" w:pos="360"/>
        </w:tabs>
        <w:ind w:left="0" w:firstLine="0"/>
      </w:pPr>
      <w:rPr>
        <w:rFonts w:ascii="Arial" w:hAnsi="Arial" w:hint="default"/>
        <w:b/>
        <w:i w:val="0"/>
        <w:sz w:val="22"/>
      </w:rPr>
    </w:lvl>
    <w:lvl w:ilvl="2">
      <w:start w:val="1"/>
      <w:numFmt w:val="decimal"/>
      <w:pStyle w:val="Ttulo3"/>
      <w:lvlText w:val="%1.%2.%3"/>
      <w:lvlJc w:val="left"/>
      <w:pPr>
        <w:tabs>
          <w:tab w:val="num" w:pos="720"/>
        </w:tabs>
        <w:ind w:left="0" w:firstLine="0"/>
      </w:pPr>
      <w:rPr>
        <w:rFonts w:ascii="Arial" w:hAnsi="Arial" w:hint="default"/>
        <w:sz w:val="22"/>
        <w:u w:val="single"/>
      </w:rPr>
    </w:lvl>
    <w:lvl w:ilvl="3">
      <w:start w:val="1"/>
      <w:numFmt w:val="decimal"/>
      <w:pStyle w:val="Ttu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CxNDY3MjcysTQ1sDBU0lEKTi0uzszPAykwqQUA86VVvCwAAAA="/>
  </w:docVars>
  <w:rsids>
    <w:rsidRoot w:val="0059509C"/>
    <w:rsid w:val="00005BA4"/>
    <w:rsid w:val="0001239A"/>
    <w:rsid w:val="00015F66"/>
    <w:rsid w:val="00016591"/>
    <w:rsid w:val="000251EE"/>
    <w:rsid w:val="00030363"/>
    <w:rsid w:val="00036708"/>
    <w:rsid w:val="00041FA1"/>
    <w:rsid w:val="000457D7"/>
    <w:rsid w:val="0006146F"/>
    <w:rsid w:val="00066095"/>
    <w:rsid w:val="00070B96"/>
    <w:rsid w:val="00072B49"/>
    <w:rsid w:val="00073AC8"/>
    <w:rsid w:val="00076DB5"/>
    <w:rsid w:val="000773D4"/>
    <w:rsid w:val="000931C4"/>
    <w:rsid w:val="000A0AE6"/>
    <w:rsid w:val="000A374A"/>
    <w:rsid w:val="000A4782"/>
    <w:rsid w:val="000A6BF4"/>
    <w:rsid w:val="000B7ED1"/>
    <w:rsid w:val="000C09CF"/>
    <w:rsid w:val="000C0E0C"/>
    <w:rsid w:val="000D0CDF"/>
    <w:rsid w:val="000D1E26"/>
    <w:rsid w:val="000D3FE3"/>
    <w:rsid w:val="000E7E67"/>
    <w:rsid w:val="000F0A26"/>
    <w:rsid w:val="000F27D8"/>
    <w:rsid w:val="000F2860"/>
    <w:rsid w:val="000F4755"/>
    <w:rsid w:val="000F6CA7"/>
    <w:rsid w:val="00101154"/>
    <w:rsid w:val="00103109"/>
    <w:rsid w:val="0011695C"/>
    <w:rsid w:val="00121825"/>
    <w:rsid w:val="00124E84"/>
    <w:rsid w:val="00127619"/>
    <w:rsid w:val="001305CE"/>
    <w:rsid w:val="001377E1"/>
    <w:rsid w:val="00141D03"/>
    <w:rsid w:val="00145700"/>
    <w:rsid w:val="0015009A"/>
    <w:rsid w:val="00150745"/>
    <w:rsid w:val="00151116"/>
    <w:rsid w:val="001529C9"/>
    <w:rsid w:val="001532FF"/>
    <w:rsid w:val="001550EB"/>
    <w:rsid w:val="001604FC"/>
    <w:rsid w:val="00161368"/>
    <w:rsid w:val="001629CD"/>
    <w:rsid w:val="00191504"/>
    <w:rsid w:val="00191F1C"/>
    <w:rsid w:val="00192844"/>
    <w:rsid w:val="0019341F"/>
    <w:rsid w:val="001A3C69"/>
    <w:rsid w:val="001A5CCD"/>
    <w:rsid w:val="001A74E7"/>
    <w:rsid w:val="001B24D6"/>
    <w:rsid w:val="001B5C8D"/>
    <w:rsid w:val="001B66E8"/>
    <w:rsid w:val="001C2B26"/>
    <w:rsid w:val="001C6532"/>
    <w:rsid w:val="001C67C2"/>
    <w:rsid w:val="001D06B2"/>
    <w:rsid w:val="001D775D"/>
    <w:rsid w:val="001E625B"/>
    <w:rsid w:val="001F0607"/>
    <w:rsid w:val="001F4501"/>
    <w:rsid w:val="0020125E"/>
    <w:rsid w:val="002046D6"/>
    <w:rsid w:val="00206107"/>
    <w:rsid w:val="00212D77"/>
    <w:rsid w:val="00217920"/>
    <w:rsid w:val="00220DB8"/>
    <w:rsid w:val="0022681D"/>
    <w:rsid w:val="0023241C"/>
    <w:rsid w:val="002349EA"/>
    <w:rsid w:val="0024357E"/>
    <w:rsid w:val="002518A2"/>
    <w:rsid w:val="00255FAB"/>
    <w:rsid w:val="00270768"/>
    <w:rsid w:val="00273089"/>
    <w:rsid w:val="0028229F"/>
    <w:rsid w:val="002878DF"/>
    <w:rsid w:val="00292225"/>
    <w:rsid w:val="00292958"/>
    <w:rsid w:val="002955F7"/>
    <w:rsid w:val="002A0E18"/>
    <w:rsid w:val="002A0E48"/>
    <w:rsid w:val="002A560B"/>
    <w:rsid w:val="002A5D7D"/>
    <w:rsid w:val="002A6293"/>
    <w:rsid w:val="002A6736"/>
    <w:rsid w:val="002B7048"/>
    <w:rsid w:val="002B77BD"/>
    <w:rsid w:val="002C0C9D"/>
    <w:rsid w:val="002C3B72"/>
    <w:rsid w:val="002C4E8E"/>
    <w:rsid w:val="002C79F1"/>
    <w:rsid w:val="002C7B3F"/>
    <w:rsid w:val="002D1CC4"/>
    <w:rsid w:val="002F0538"/>
    <w:rsid w:val="002F2EF8"/>
    <w:rsid w:val="002F6989"/>
    <w:rsid w:val="0030061E"/>
    <w:rsid w:val="00305F5A"/>
    <w:rsid w:val="00316391"/>
    <w:rsid w:val="003254C3"/>
    <w:rsid w:val="00325611"/>
    <w:rsid w:val="00357466"/>
    <w:rsid w:val="00371B67"/>
    <w:rsid w:val="00375913"/>
    <w:rsid w:val="003764D7"/>
    <w:rsid w:val="00380A98"/>
    <w:rsid w:val="00383394"/>
    <w:rsid w:val="00386AD2"/>
    <w:rsid w:val="00391004"/>
    <w:rsid w:val="00393CDB"/>
    <w:rsid w:val="00397874"/>
    <w:rsid w:val="003A5B0C"/>
    <w:rsid w:val="003A79FC"/>
    <w:rsid w:val="003B3FCB"/>
    <w:rsid w:val="003C6D30"/>
    <w:rsid w:val="003D199E"/>
    <w:rsid w:val="003E1B7C"/>
    <w:rsid w:val="003E4C7C"/>
    <w:rsid w:val="003E679B"/>
    <w:rsid w:val="003F1085"/>
    <w:rsid w:val="003F2D41"/>
    <w:rsid w:val="003F5A00"/>
    <w:rsid w:val="00410041"/>
    <w:rsid w:val="00413F62"/>
    <w:rsid w:val="00414531"/>
    <w:rsid w:val="004165BC"/>
    <w:rsid w:val="004235FA"/>
    <w:rsid w:val="00424EB9"/>
    <w:rsid w:val="004270A9"/>
    <w:rsid w:val="004361E6"/>
    <w:rsid w:val="00455EFF"/>
    <w:rsid w:val="00463017"/>
    <w:rsid w:val="004639B7"/>
    <w:rsid w:val="00463CD4"/>
    <w:rsid w:val="0046614D"/>
    <w:rsid w:val="00474177"/>
    <w:rsid w:val="004758D0"/>
    <w:rsid w:val="0048426A"/>
    <w:rsid w:val="00492117"/>
    <w:rsid w:val="004A0EF2"/>
    <w:rsid w:val="004A11B0"/>
    <w:rsid w:val="004B0024"/>
    <w:rsid w:val="004B6E86"/>
    <w:rsid w:val="004C63F7"/>
    <w:rsid w:val="004C64CF"/>
    <w:rsid w:val="004C6A9A"/>
    <w:rsid w:val="004E01A8"/>
    <w:rsid w:val="004E5EFD"/>
    <w:rsid w:val="004F0C47"/>
    <w:rsid w:val="004F6120"/>
    <w:rsid w:val="004F6AA4"/>
    <w:rsid w:val="00510478"/>
    <w:rsid w:val="00514C50"/>
    <w:rsid w:val="005151C6"/>
    <w:rsid w:val="0051534D"/>
    <w:rsid w:val="00522770"/>
    <w:rsid w:val="005257A0"/>
    <w:rsid w:val="00531302"/>
    <w:rsid w:val="0053252A"/>
    <w:rsid w:val="00533B9D"/>
    <w:rsid w:val="00541415"/>
    <w:rsid w:val="005428D8"/>
    <w:rsid w:val="00564AF1"/>
    <w:rsid w:val="00573B23"/>
    <w:rsid w:val="00594A33"/>
    <w:rsid w:val="0059509C"/>
    <w:rsid w:val="005965EE"/>
    <w:rsid w:val="005C05EF"/>
    <w:rsid w:val="005C4ED3"/>
    <w:rsid w:val="005C526B"/>
    <w:rsid w:val="005D56FD"/>
    <w:rsid w:val="005D590E"/>
    <w:rsid w:val="005F4E67"/>
    <w:rsid w:val="00605ED4"/>
    <w:rsid w:val="006174CA"/>
    <w:rsid w:val="0062650A"/>
    <w:rsid w:val="00626A22"/>
    <w:rsid w:val="00634064"/>
    <w:rsid w:val="00641955"/>
    <w:rsid w:val="006459F5"/>
    <w:rsid w:val="006542E6"/>
    <w:rsid w:val="006568C4"/>
    <w:rsid w:val="00673A41"/>
    <w:rsid w:val="006748FC"/>
    <w:rsid w:val="00676BB2"/>
    <w:rsid w:val="006A4302"/>
    <w:rsid w:val="006A5CA8"/>
    <w:rsid w:val="006B44CA"/>
    <w:rsid w:val="006B6F45"/>
    <w:rsid w:val="006C0CAA"/>
    <w:rsid w:val="006C3147"/>
    <w:rsid w:val="006D11DF"/>
    <w:rsid w:val="006D2A05"/>
    <w:rsid w:val="006D2F3F"/>
    <w:rsid w:val="006D4AA5"/>
    <w:rsid w:val="006D4BCB"/>
    <w:rsid w:val="006E1201"/>
    <w:rsid w:val="006F4ED2"/>
    <w:rsid w:val="00700FC1"/>
    <w:rsid w:val="007107B6"/>
    <w:rsid w:val="00716566"/>
    <w:rsid w:val="00743D15"/>
    <w:rsid w:val="0074598C"/>
    <w:rsid w:val="007468BB"/>
    <w:rsid w:val="00754E98"/>
    <w:rsid w:val="007619EF"/>
    <w:rsid w:val="00762FBE"/>
    <w:rsid w:val="00765BFB"/>
    <w:rsid w:val="00782A7A"/>
    <w:rsid w:val="007A07DF"/>
    <w:rsid w:val="007A4A33"/>
    <w:rsid w:val="007A7B9D"/>
    <w:rsid w:val="007B112B"/>
    <w:rsid w:val="007B27E3"/>
    <w:rsid w:val="007B36E6"/>
    <w:rsid w:val="007C1F7C"/>
    <w:rsid w:val="007C4F72"/>
    <w:rsid w:val="007C7720"/>
    <w:rsid w:val="007D13FB"/>
    <w:rsid w:val="007D3940"/>
    <w:rsid w:val="007E09C2"/>
    <w:rsid w:val="007E243A"/>
    <w:rsid w:val="007E3A1A"/>
    <w:rsid w:val="007F1B5C"/>
    <w:rsid w:val="00802C3F"/>
    <w:rsid w:val="008071E0"/>
    <w:rsid w:val="00807495"/>
    <w:rsid w:val="008106E0"/>
    <w:rsid w:val="008122E0"/>
    <w:rsid w:val="008168B4"/>
    <w:rsid w:val="00826274"/>
    <w:rsid w:val="00841263"/>
    <w:rsid w:val="0084602A"/>
    <w:rsid w:val="00853D71"/>
    <w:rsid w:val="00856656"/>
    <w:rsid w:val="00861C28"/>
    <w:rsid w:val="00862648"/>
    <w:rsid w:val="0087423F"/>
    <w:rsid w:val="00883255"/>
    <w:rsid w:val="008850B1"/>
    <w:rsid w:val="0088590F"/>
    <w:rsid w:val="008874EB"/>
    <w:rsid w:val="00887FD9"/>
    <w:rsid w:val="00892BD9"/>
    <w:rsid w:val="008938F0"/>
    <w:rsid w:val="00894E04"/>
    <w:rsid w:val="008A0336"/>
    <w:rsid w:val="008B189D"/>
    <w:rsid w:val="008B7FD4"/>
    <w:rsid w:val="008C24F7"/>
    <w:rsid w:val="008C3FD8"/>
    <w:rsid w:val="008C6915"/>
    <w:rsid w:val="008C7981"/>
    <w:rsid w:val="008D1E1D"/>
    <w:rsid w:val="008D3FB1"/>
    <w:rsid w:val="008E01B1"/>
    <w:rsid w:val="008E371D"/>
    <w:rsid w:val="009036B6"/>
    <w:rsid w:val="009059DD"/>
    <w:rsid w:val="0091326C"/>
    <w:rsid w:val="0091399C"/>
    <w:rsid w:val="009142E4"/>
    <w:rsid w:val="009237CD"/>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A4A16"/>
    <w:rsid w:val="009C54BA"/>
    <w:rsid w:val="009E3328"/>
    <w:rsid w:val="009E3BD4"/>
    <w:rsid w:val="009F2D42"/>
    <w:rsid w:val="009F502C"/>
    <w:rsid w:val="009F780B"/>
    <w:rsid w:val="00A0387C"/>
    <w:rsid w:val="00A17DD2"/>
    <w:rsid w:val="00A20782"/>
    <w:rsid w:val="00A247B8"/>
    <w:rsid w:val="00A25681"/>
    <w:rsid w:val="00A262A3"/>
    <w:rsid w:val="00A4043A"/>
    <w:rsid w:val="00A62EEB"/>
    <w:rsid w:val="00A758AD"/>
    <w:rsid w:val="00A80792"/>
    <w:rsid w:val="00A80CDE"/>
    <w:rsid w:val="00A82F3A"/>
    <w:rsid w:val="00A833FC"/>
    <w:rsid w:val="00A91FA7"/>
    <w:rsid w:val="00A957C5"/>
    <w:rsid w:val="00AA1120"/>
    <w:rsid w:val="00AA4BB9"/>
    <w:rsid w:val="00AB4CCF"/>
    <w:rsid w:val="00AB5699"/>
    <w:rsid w:val="00AE3D60"/>
    <w:rsid w:val="00AE68AC"/>
    <w:rsid w:val="00AF032B"/>
    <w:rsid w:val="00AF0FDF"/>
    <w:rsid w:val="00AF4B4A"/>
    <w:rsid w:val="00AF7050"/>
    <w:rsid w:val="00B03209"/>
    <w:rsid w:val="00B10489"/>
    <w:rsid w:val="00B169B1"/>
    <w:rsid w:val="00B17C01"/>
    <w:rsid w:val="00B31243"/>
    <w:rsid w:val="00B3679E"/>
    <w:rsid w:val="00B43CC4"/>
    <w:rsid w:val="00B56D6D"/>
    <w:rsid w:val="00B75217"/>
    <w:rsid w:val="00B878D2"/>
    <w:rsid w:val="00B924BD"/>
    <w:rsid w:val="00B95EF9"/>
    <w:rsid w:val="00BA38D4"/>
    <w:rsid w:val="00BA412F"/>
    <w:rsid w:val="00BA4A3F"/>
    <w:rsid w:val="00BA6027"/>
    <w:rsid w:val="00BB17C4"/>
    <w:rsid w:val="00BB5CC5"/>
    <w:rsid w:val="00BB763C"/>
    <w:rsid w:val="00BD6411"/>
    <w:rsid w:val="00BE6351"/>
    <w:rsid w:val="00BF3671"/>
    <w:rsid w:val="00BF4F0B"/>
    <w:rsid w:val="00BF53C0"/>
    <w:rsid w:val="00C0412F"/>
    <w:rsid w:val="00C07526"/>
    <w:rsid w:val="00C16D78"/>
    <w:rsid w:val="00C211BC"/>
    <w:rsid w:val="00C22C11"/>
    <w:rsid w:val="00C3199D"/>
    <w:rsid w:val="00C37073"/>
    <w:rsid w:val="00C54060"/>
    <w:rsid w:val="00C540FC"/>
    <w:rsid w:val="00C54DD9"/>
    <w:rsid w:val="00C57F4A"/>
    <w:rsid w:val="00C6065C"/>
    <w:rsid w:val="00C65F5B"/>
    <w:rsid w:val="00C700EB"/>
    <w:rsid w:val="00C76077"/>
    <w:rsid w:val="00C826B1"/>
    <w:rsid w:val="00C82CDD"/>
    <w:rsid w:val="00C84193"/>
    <w:rsid w:val="00C846DE"/>
    <w:rsid w:val="00C87F73"/>
    <w:rsid w:val="00C969D7"/>
    <w:rsid w:val="00C97B3E"/>
    <w:rsid w:val="00CA269C"/>
    <w:rsid w:val="00CC185F"/>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2455"/>
    <w:rsid w:val="00D53AF3"/>
    <w:rsid w:val="00D54F3D"/>
    <w:rsid w:val="00D5564E"/>
    <w:rsid w:val="00D5596D"/>
    <w:rsid w:val="00D663D3"/>
    <w:rsid w:val="00D70E7C"/>
    <w:rsid w:val="00D77625"/>
    <w:rsid w:val="00D7770E"/>
    <w:rsid w:val="00D83F9E"/>
    <w:rsid w:val="00D9470E"/>
    <w:rsid w:val="00D95201"/>
    <w:rsid w:val="00DA3001"/>
    <w:rsid w:val="00DA459A"/>
    <w:rsid w:val="00DB557B"/>
    <w:rsid w:val="00DB59D2"/>
    <w:rsid w:val="00DC30D3"/>
    <w:rsid w:val="00DD0AA3"/>
    <w:rsid w:val="00DE09B4"/>
    <w:rsid w:val="00DE0AD5"/>
    <w:rsid w:val="00DE2E10"/>
    <w:rsid w:val="00DF38A5"/>
    <w:rsid w:val="00E01C63"/>
    <w:rsid w:val="00E0389B"/>
    <w:rsid w:val="00E4279F"/>
    <w:rsid w:val="00E42DE3"/>
    <w:rsid w:val="00E454A2"/>
    <w:rsid w:val="00E46FD1"/>
    <w:rsid w:val="00E51BBF"/>
    <w:rsid w:val="00E732B8"/>
    <w:rsid w:val="00E73A04"/>
    <w:rsid w:val="00E74C87"/>
    <w:rsid w:val="00E80C5C"/>
    <w:rsid w:val="00E821B8"/>
    <w:rsid w:val="00E863D4"/>
    <w:rsid w:val="00E90D17"/>
    <w:rsid w:val="00E92A97"/>
    <w:rsid w:val="00E92FD5"/>
    <w:rsid w:val="00EA0280"/>
    <w:rsid w:val="00EA377C"/>
    <w:rsid w:val="00EC544C"/>
    <w:rsid w:val="00EC77A6"/>
    <w:rsid w:val="00EC7A4A"/>
    <w:rsid w:val="00ED11AA"/>
    <w:rsid w:val="00EE22AA"/>
    <w:rsid w:val="00F108C4"/>
    <w:rsid w:val="00F10E3E"/>
    <w:rsid w:val="00F12941"/>
    <w:rsid w:val="00F14D8B"/>
    <w:rsid w:val="00F15F1C"/>
    <w:rsid w:val="00F162CE"/>
    <w:rsid w:val="00F200EB"/>
    <w:rsid w:val="00F20741"/>
    <w:rsid w:val="00F36BC5"/>
    <w:rsid w:val="00F500C7"/>
    <w:rsid w:val="00F50BEE"/>
    <w:rsid w:val="00F74863"/>
    <w:rsid w:val="00F76C46"/>
    <w:rsid w:val="00F96607"/>
    <w:rsid w:val="00F97199"/>
    <w:rsid w:val="00F97455"/>
    <w:rsid w:val="00FA7083"/>
    <w:rsid w:val="00FB5539"/>
    <w:rsid w:val="00FB575D"/>
    <w:rsid w:val="00FC06EC"/>
    <w:rsid w:val="00FC7F26"/>
    <w:rsid w:val="00FD2175"/>
    <w:rsid w:val="00FD60B3"/>
    <w:rsid w:val="00FE5272"/>
    <w:rsid w:val="00FF0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225D15"/>
  <w15:chartTrackingRefBased/>
  <w15:docId w15:val="{F65ABFD9-66EF-450E-80FB-7DC56AD4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C8D"/>
    <w:rPr>
      <w:rFonts w:ascii="Arial" w:hAnsi="Arial"/>
      <w:color w:val="000000"/>
      <w:sz w:val="22"/>
      <w:szCs w:val="24"/>
      <w:lang w:eastAsia="en-US"/>
    </w:rPr>
  </w:style>
  <w:style w:type="paragraph" w:styleId="Ttulo1">
    <w:name w:val="heading 1"/>
    <w:basedOn w:val="Normal"/>
    <w:next w:val="Normal"/>
    <w:qFormat/>
    <w:rsid w:val="00925429"/>
    <w:pPr>
      <w:keepNext/>
      <w:numPr>
        <w:numId w:val="25"/>
      </w:numPr>
      <w:tabs>
        <w:tab w:val="left" w:pos="284"/>
      </w:tabs>
      <w:outlineLvl w:val="0"/>
    </w:pPr>
    <w:rPr>
      <w:b/>
      <w:bCs/>
      <w:u w:val="single"/>
    </w:rPr>
  </w:style>
  <w:style w:type="paragraph" w:styleId="Ttulo2">
    <w:name w:val="heading 2"/>
    <w:basedOn w:val="Normal"/>
    <w:next w:val="Normal"/>
    <w:qFormat/>
    <w:rsid w:val="00925429"/>
    <w:pPr>
      <w:keepNext/>
      <w:numPr>
        <w:ilvl w:val="1"/>
        <w:numId w:val="25"/>
      </w:numPr>
      <w:tabs>
        <w:tab w:val="left" w:pos="567"/>
      </w:tabs>
      <w:outlineLvl w:val="1"/>
    </w:pPr>
    <w:rPr>
      <w:b/>
      <w:bCs/>
    </w:rPr>
  </w:style>
  <w:style w:type="paragraph" w:styleId="Ttulo3">
    <w:name w:val="heading 3"/>
    <w:basedOn w:val="Normal"/>
    <w:next w:val="Normal"/>
    <w:qFormat/>
    <w:rsid w:val="00925429"/>
    <w:pPr>
      <w:keepNext/>
      <w:numPr>
        <w:ilvl w:val="2"/>
        <w:numId w:val="25"/>
      </w:numPr>
      <w:tabs>
        <w:tab w:val="left" w:pos="851"/>
      </w:tabs>
      <w:outlineLvl w:val="2"/>
    </w:pPr>
    <w:rPr>
      <w:bCs/>
      <w:u w:val="single"/>
    </w:rPr>
  </w:style>
  <w:style w:type="paragraph" w:styleId="Ttulo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Ttulo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Ttulo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Ttulo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Ttulo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Ttulo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25429"/>
    <w:pPr>
      <w:tabs>
        <w:tab w:val="center" w:pos="4536"/>
        <w:tab w:val="right" w:pos="9072"/>
      </w:tabs>
    </w:pPr>
  </w:style>
  <w:style w:type="paragraph" w:styleId="Piedepgina">
    <w:name w:val="footer"/>
    <w:basedOn w:val="Normal"/>
    <w:semiHidden/>
    <w:rsid w:val="00925429"/>
    <w:pPr>
      <w:tabs>
        <w:tab w:val="center" w:pos="4536"/>
        <w:tab w:val="right" w:pos="9072"/>
      </w:tabs>
    </w:pPr>
  </w:style>
  <w:style w:type="character" w:styleId="Nmerodepgina">
    <w:name w:val="page number"/>
    <w:basedOn w:val="Fuentedeprrafopredeter"/>
    <w:semiHidden/>
    <w:rsid w:val="00925429"/>
    <w:rPr>
      <w:rFonts w:ascii="Arial" w:hAnsi="Arial"/>
      <w:dstrike w:val="0"/>
      <w:color w:val="000000"/>
      <w:sz w:val="22"/>
      <w:u w:val="none"/>
      <w:vertAlign w:val="baseline"/>
    </w:rPr>
  </w:style>
  <w:style w:type="paragraph" w:styleId="Mapadeldocumento">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Sinlista"/>
    <w:rsid w:val="00C846DE"/>
    <w:pPr>
      <w:numPr>
        <w:numId w:val="30"/>
      </w:numPr>
    </w:pPr>
  </w:style>
  <w:style w:type="character" w:styleId="Refdecomentario">
    <w:name w:val="annotation reference"/>
    <w:basedOn w:val="Fuentedeprrafopredeter"/>
    <w:uiPriority w:val="99"/>
    <w:semiHidden/>
    <w:unhideWhenUsed/>
    <w:rsid w:val="00016591"/>
    <w:rPr>
      <w:sz w:val="16"/>
      <w:szCs w:val="16"/>
    </w:rPr>
  </w:style>
  <w:style w:type="paragraph" w:styleId="Textocomentario">
    <w:name w:val="annotation text"/>
    <w:basedOn w:val="Normal"/>
    <w:link w:val="TextocomentarioCar"/>
    <w:uiPriority w:val="99"/>
    <w:unhideWhenUsed/>
    <w:rsid w:val="00016591"/>
    <w:rPr>
      <w:sz w:val="20"/>
      <w:szCs w:val="20"/>
    </w:rPr>
  </w:style>
  <w:style w:type="character" w:customStyle="1" w:styleId="TextocomentarioCar">
    <w:name w:val="Texto comentario Car"/>
    <w:basedOn w:val="Fuentedeprrafopredeter"/>
    <w:link w:val="Textocomentario"/>
    <w:uiPriority w:val="99"/>
    <w:rsid w:val="00016591"/>
    <w:rPr>
      <w:rFonts w:ascii="Arial" w:hAnsi="Arial"/>
      <w:color w:val="000000"/>
      <w:lang w:val="es-ES"/>
    </w:rPr>
  </w:style>
  <w:style w:type="paragraph" w:styleId="Asuntodelcomentario">
    <w:name w:val="annotation subject"/>
    <w:basedOn w:val="Textocomentario"/>
    <w:next w:val="Textocomentario"/>
    <w:link w:val="AsuntodelcomentarioCar"/>
    <w:uiPriority w:val="99"/>
    <w:semiHidden/>
    <w:unhideWhenUsed/>
    <w:rsid w:val="00016591"/>
    <w:rPr>
      <w:b/>
      <w:bCs/>
    </w:rPr>
  </w:style>
  <w:style w:type="character" w:customStyle="1" w:styleId="AsuntodelcomentarioCar">
    <w:name w:val="Asunto del comentario Car"/>
    <w:basedOn w:val="TextocomentarioCar"/>
    <w:link w:val="Asuntodelcomentario"/>
    <w:uiPriority w:val="99"/>
    <w:semiHidden/>
    <w:rsid w:val="00016591"/>
    <w:rPr>
      <w:rFonts w:ascii="Arial" w:hAnsi="Arial"/>
      <w:b/>
      <w:bCs/>
      <w:color w:val="000000"/>
      <w:lang w:val="es-ES"/>
    </w:rPr>
  </w:style>
  <w:style w:type="paragraph" w:styleId="Revisin">
    <w:name w:val="Revision"/>
    <w:hidden/>
    <w:uiPriority w:val="99"/>
    <w:semiHidden/>
    <w:rsid w:val="00016591"/>
    <w:rPr>
      <w:rFonts w:ascii="Arial" w:hAnsi="Arial"/>
      <w:color w:val="000000"/>
      <w:sz w:val="22"/>
      <w:szCs w:val="24"/>
      <w:lang w:eastAsia="en-US"/>
    </w:rPr>
  </w:style>
  <w:style w:type="paragraph" w:styleId="Textodeglobo">
    <w:name w:val="Balloon Text"/>
    <w:basedOn w:val="Normal"/>
    <w:link w:val="TextodegloboCar"/>
    <w:uiPriority w:val="99"/>
    <w:semiHidden/>
    <w:unhideWhenUsed/>
    <w:rsid w:val="00016591"/>
    <w:rPr>
      <w:rFonts w:ascii="Tahoma" w:hAnsi="Tahoma" w:cs="Tahoma"/>
      <w:sz w:val="16"/>
      <w:szCs w:val="16"/>
    </w:rPr>
  </w:style>
  <w:style w:type="character" w:customStyle="1" w:styleId="TextodegloboCar">
    <w:name w:val="Texto de globo Car"/>
    <w:basedOn w:val="Fuentedeprrafopredeter"/>
    <w:link w:val="Textodeglobo"/>
    <w:uiPriority w:val="99"/>
    <w:semiHidden/>
    <w:rsid w:val="00016591"/>
    <w:rPr>
      <w:rFonts w:ascii="Tahoma" w:hAnsi="Tahoma" w:cs="Tahoma"/>
      <w:color w:val="000000"/>
      <w:sz w:val="16"/>
      <w:szCs w:val="16"/>
      <w:lang w:val="es-ES"/>
    </w:rPr>
  </w:style>
  <w:style w:type="character" w:styleId="Hipervnculo">
    <w:name w:val="Hyperlink"/>
    <w:basedOn w:val="Fuentedeprrafopredeter"/>
    <w:uiPriority w:val="99"/>
    <w:unhideWhenUsed/>
    <w:rsid w:val="00016591"/>
    <w:rPr>
      <w:rFonts w:ascii="Arial" w:hAnsi="Arial" w:cs="Arial" w:hint="default"/>
      <w:color w:val="666666"/>
      <w:sz w:val="18"/>
      <w:szCs w:val="18"/>
      <w:u w:val="single"/>
    </w:rPr>
  </w:style>
  <w:style w:type="character" w:customStyle="1" w:styleId="EncabezadoCar">
    <w:name w:val="Encabezado Car"/>
    <w:basedOn w:val="Fuentedeprrafopredeter"/>
    <w:link w:val="Encabezado"/>
    <w:uiPriority w:val="99"/>
    <w:locked/>
    <w:rsid w:val="001B5C8D"/>
    <w:rPr>
      <w:rFonts w:ascii="Arial" w:hAnsi="Arial"/>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100BE-240B-40DB-9D95-2C1FCBAC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1219</Words>
  <Characters>6705</Characters>
  <Application>Microsoft Office Word</Application>
  <DocSecurity>0</DocSecurity>
  <Lines>55</Lines>
  <Paragraphs>15</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Briefvorlage nach AA DG- R1-MSD-0001 02 DEU</vt:lpstr>
      <vt:lpstr>Briefvorlage nach AA DG- R1-MSD-0001 02 DEU</vt:lpstr>
      <vt:lpstr>Briefvorlage nach AA DG- R1-MSD-0001 02 DEU</vt:lpstr>
    </vt:vector>
  </TitlesOfParts>
  <Company>Doka GmbH</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cp:keywords/>
  <dc:description/>
  <cp:lastModifiedBy>Nagore</cp:lastModifiedBy>
  <cp:revision>5</cp:revision>
  <cp:lastPrinted>2006-02-13T12:39:00Z</cp:lastPrinted>
  <dcterms:created xsi:type="dcterms:W3CDTF">2020-08-17T07:08:00Z</dcterms:created>
  <dcterms:modified xsi:type="dcterms:W3CDTF">2020-09-10T19:49:00Z</dcterms:modified>
</cp:coreProperties>
</file>