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884" w:rsidRDefault="00E67884" w:rsidP="00846576">
      <w:pPr>
        <w:rPr>
          <w:rFonts w:ascii="Arial" w:hAnsi="Arial" w:cs="Arial"/>
          <w:b/>
          <w:bCs/>
          <w:color w:val="002060"/>
          <w:sz w:val="32"/>
          <w:szCs w:val="32"/>
        </w:rPr>
      </w:pPr>
    </w:p>
    <w:p w:rsidR="00E67884" w:rsidRDefault="00E67884" w:rsidP="00846576">
      <w:pPr>
        <w:rPr>
          <w:rFonts w:ascii="Arial" w:hAnsi="Arial" w:cs="Arial"/>
          <w:b/>
          <w:bCs/>
          <w:color w:val="002060"/>
          <w:sz w:val="32"/>
          <w:szCs w:val="32"/>
        </w:rPr>
      </w:pPr>
    </w:p>
    <w:p w:rsidR="00846576" w:rsidRDefault="00846576" w:rsidP="00846576">
      <w:pPr>
        <w:rPr>
          <w:rFonts w:ascii="Arial" w:hAnsi="Arial" w:cs="Arial"/>
          <w:b/>
          <w:bCs/>
          <w:color w:val="002060"/>
          <w:sz w:val="32"/>
          <w:szCs w:val="32"/>
        </w:rPr>
      </w:pPr>
      <w:r>
        <w:rPr>
          <w:rFonts w:ascii="Arial" w:hAnsi="Arial" w:cs="Arial"/>
          <w:b/>
          <w:bCs/>
          <w:color w:val="002060"/>
          <w:sz w:val="32"/>
          <w:szCs w:val="32"/>
        </w:rPr>
        <w:t>DOKA Slovakia, Debniaca technika s.r.o.  – „PEČAŤ BONITY“</w:t>
      </w:r>
    </w:p>
    <w:p w:rsidR="00846576" w:rsidRDefault="00846576" w:rsidP="00846576">
      <w:pPr>
        <w:rPr>
          <w:rFonts w:ascii="Arial" w:hAnsi="Arial" w:cs="Arial"/>
          <w:color w:val="002060"/>
          <w:sz w:val="32"/>
          <w:szCs w:val="32"/>
        </w:rPr>
      </w:pPr>
    </w:p>
    <w:p w:rsidR="00E67884" w:rsidRDefault="00E67884" w:rsidP="00846576">
      <w:pPr>
        <w:rPr>
          <w:rFonts w:ascii="Arial" w:hAnsi="Arial" w:cs="Arial"/>
          <w:color w:val="002060"/>
          <w:sz w:val="32"/>
          <w:szCs w:val="32"/>
        </w:rPr>
      </w:pPr>
    </w:p>
    <w:p w:rsidR="00846576" w:rsidRDefault="00846576" w:rsidP="00846576">
      <w:pPr>
        <w:rPr>
          <w:rFonts w:ascii="Arial" w:hAnsi="Arial" w:cs="Arial"/>
          <w:color w:val="002060"/>
          <w:sz w:val="32"/>
          <w:szCs w:val="32"/>
        </w:rPr>
      </w:pPr>
      <w:r>
        <w:rPr>
          <w:rFonts w:ascii="Arial" w:hAnsi="Arial" w:cs="Arial"/>
          <w:color w:val="002060"/>
          <w:sz w:val="32"/>
          <w:szCs w:val="32"/>
        </w:rPr>
        <w:t>Národná informačná služba Slovenskej republiky pravidelne analyzuje hospodárske prostredie a ekonomické zdravie podnikov na Slovensku. V tomto roku opätovne analyzovali a vyhodnotili všetky podniky, ktoré pôsobia na slovenskom trhu. Cieľom hodnotenia bolo vyselektovať bonitné podniky čiže podniky finančne stabilné, spoľahlivé a prosperujúce.</w:t>
      </w:r>
    </w:p>
    <w:p w:rsidR="00846576" w:rsidRDefault="00846576" w:rsidP="00846576">
      <w:pPr>
        <w:rPr>
          <w:rFonts w:ascii="Arial" w:hAnsi="Arial" w:cs="Arial"/>
          <w:color w:val="002060"/>
          <w:sz w:val="32"/>
          <w:szCs w:val="32"/>
        </w:rPr>
      </w:pPr>
    </w:p>
    <w:p w:rsidR="00846576" w:rsidRDefault="00846576" w:rsidP="00846576">
      <w:pPr>
        <w:rPr>
          <w:rFonts w:ascii="Arial" w:hAnsi="Arial" w:cs="Arial"/>
          <w:color w:val="002060"/>
          <w:sz w:val="32"/>
          <w:szCs w:val="32"/>
        </w:rPr>
      </w:pPr>
      <w:r>
        <w:rPr>
          <w:rFonts w:ascii="Arial" w:hAnsi="Arial" w:cs="Arial"/>
          <w:color w:val="002060"/>
          <w:sz w:val="32"/>
          <w:szCs w:val="32"/>
        </w:rPr>
        <w:t>Hodnotili  734.055 podnikateľských subjektov piatimi medzinárodne uznávanými metódami finančnej analýzy, ktorým  vyhovelo len 0,87% spoločností.</w:t>
      </w:r>
    </w:p>
    <w:p w:rsidR="00846576" w:rsidRDefault="00846576" w:rsidP="00846576">
      <w:pPr>
        <w:rPr>
          <w:rFonts w:ascii="Arial" w:hAnsi="Arial" w:cs="Arial"/>
          <w:color w:val="002060"/>
          <w:sz w:val="32"/>
          <w:szCs w:val="32"/>
        </w:rPr>
      </w:pPr>
    </w:p>
    <w:p w:rsidR="00846576" w:rsidRDefault="00846576" w:rsidP="00846576">
      <w:pPr>
        <w:rPr>
          <w:rFonts w:ascii="Arial" w:hAnsi="Arial" w:cs="Arial"/>
          <w:color w:val="203864"/>
          <w:sz w:val="32"/>
          <w:szCs w:val="32"/>
        </w:rPr>
      </w:pPr>
      <w:r>
        <w:rPr>
          <w:rFonts w:ascii="Arial" w:hAnsi="Arial" w:cs="Arial"/>
          <w:color w:val="002060"/>
          <w:sz w:val="32"/>
          <w:szCs w:val="32"/>
        </w:rPr>
        <w:t xml:space="preserve">Bonitný model upozorňuje na solventnosť, stabilitu a schopnosť podnikov plniť si svoje záväzky. </w:t>
      </w:r>
    </w:p>
    <w:p w:rsidR="00846576" w:rsidRDefault="00846576" w:rsidP="00846576">
      <w:pPr>
        <w:rPr>
          <w:rFonts w:ascii="Arial" w:hAnsi="Arial" w:cs="Arial"/>
          <w:color w:val="002060"/>
          <w:sz w:val="32"/>
          <w:szCs w:val="32"/>
        </w:rPr>
      </w:pPr>
    </w:p>
    <w:p w:rsidR="00846576" w:rsidRDefault="00846576" w:rsidP="00846576">
      <w:pPr>
        <w:rPr>
          <w:rFonts w:ascii="Arial" w:hAnsi="Arial" w:cs="Arial"/>
          <w:color w:val="002060"/>
          <w:sz w:val="32"/>
          <w:szCs w:val="32"/>
        </w:rPr>
      </w:pPr>
      <w:r>
        <w:rPr>
          <w:rFonts w:ascii="Arial" w:hAnsi="Arial" w:cs="Arial"/>
          <w:color w:val="002060"/>
          <w:sz w:val="32"/>
          <w:szCs w:val="32"/>
        </w:rPr>
        <w:t xml:space="preserve">Naša spoločnosť prešla týmto hodnotením s pozitívnym výsledkom. Výsledky totiž hovoria o tom, že minimálne 2 roky </w:t>
      </w:r>
      <w:r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color w:val="002060"/>
          <w:sz w:val="32"/>
          <w:szCs w:val="32"/>
        </w:rPr>
        <w:t xml:space="preserve">aša spoločnosť neupadne do nejakého veľkého rizika. </w:t>
      </w:r>
    </w:p>
    <w:p w:rsidR="00846576" w:rsidRDefault="00846576" w:rsidP="00846576">
      <w:pPr>
        <w:rPr>
          <w:rFonts w:ascii="Arial" w:hAnsi="Arial" w:cs="Arial"/>
          <w:color w:val="002060"/>
          <w:sz w:val="32"/>
          <w:szCs w:val="32"/>
        </w:rPr>
      </w:pPr>
    </w:p>
    <w:p w:rsidR="00846576" w:rsidRDefault="00846576" w:rsidP="00846576">
      <w:pPr>
        <w:rPr>
          <w:rFonts w:ascii="Arial" w:hAnsi="Arial" w:cs="Arial"/>
          <w:color w:val="002060"/>
          <w:sz w:val="32"/>
          <w:szCs w:val="32"/>
        </w:rPr>
      </w:pPr>
      <w:r w:rsidRPr="00846576">
        <w:rPr>
          <w:rFonts w:ascii="Arial" w:hAnsi="Arial" w:cs="Arial"/>
          <w:color w:val="002060"/>
          <w:sz w:val="32"/>
          <w:szCs w:val="32"/>
        </w:rPr>
        <w:t>To znamená, že našu spoločnosť bude Slovenská informačná a marketingová spoločnosť, a.s. odporúčať v hodnotiacom systéme, ktorý odporúča Európska komisia pre Európsky sociálny fond na hodnotenie a preverovanie firiem.</w:t>
      </w:r>
    </w:p>
    <w:p w:rsidR="00E67884" w:rsidRDefault="00E67884" w:rsidP="00846576">
      <w:pPr>
        <w:rPr>
          <w:rFonts w:ascii="Arial" w:hAnsi="Arial" w:cs="Arial"/>
          <w:color w:val="002060"/>
          <w:sz w:val="32"/>
          <w:szCs w:val="32"/>
        </w:rPr>
      </w:pPr>
    </w:p>
    <w:p w:rsidR="00E67884" w:rsidRDefault="00846576" w:rsidP="00846576">
      <w:pPr>
        <w:rPr>
          <w:rFonts w:ascii="Arial" w:hAnsi="Arial" w:cs="Arial"/>
          <w:b/>
          <w:bCs/>
          <w:color w:val="002060"/>
          <w:sz w:val="32"/>
          <w:szCs w:val="32"/>
        </w:rPr>
      </w:pPr>
      <w:r>
        <w:rPr>
          <w:rFonts w:ascii="Arial" w:hAnsi="Arial" w:cs="Arial"/>
          <w:color w:val="002060"/>
          <w:sz w:val="32"/>
          <w:szCs w:val="32"/>
        </w:rPr>
        <w:t>Takýmto ocenením sa stáva DOKA Slovakia  na slovenskom trhu</w:t>
      </w:r>
      <w:r w:rsidR="00E67884">
        <w:rPr>
          <w:rFonts w:ascii="Arial" w:hAnsi="Arial" w:cs="Arial"/>
          <w:color w:val="00206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2060"/>
          <w:sz w:val="32"/>
          <w:szCs w:val="32"/>
        </w:rPr>
        <w:t>No 1.</w:t>
      </w:r>
    </w:p>
    <w:p w:rsidR="0088590F" w:rsidRPr="001D0F1F" w:rsidRDefault="00E67884" w:rsidP="001D0F1F">
      <w:pPr>
        <w:jc w:val="center"/>
        <w:rPr>
          <w:rFonts w:ascii="Arial" w:hAnsi="Arial" w:cs="Arial"/>
          <w:b/>
          <w:bCs/>
          <w:color w:val="002060"/>
          <w:sz w:val="32"/>
          <w:szCs w:val="32"/>
        </w:rPr>
      </w:pPr>
      <w:r>
        <w:rPr>
          <w:noProof/>
        </w:rPr>
        <w:drawing>
          <wp:inline distT="0" distB="0" distL="0" distR="0">
            <wp:extent cx="1181327" cy="1317621"/>
            <wp:effectExtent l="19050" t="0" r="0" b="0"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962" cy="1318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8590F" w:rsidRPr="001D0F1F" w:rsidSect="00E67884">
      <w:headerReference w:type="default" r:id="rId9"/>
      <w:footerReference w:type="default" r:id="rId10"/>
      <w:pgSz w:w="11906" w:h="16838" w:code="9"/>
      <w:pgMar w:top="2381" w:right="1134" w:bottom="567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576" w:rsidRDefault="00846576">
      <w:r>
        <w:separator/>
      </w:r>
    </w:p>
  </w:endnote>
  <w:endnote w:type="continuationSeparator" w:id="0">
    <w:p w:rsidR="00846576" w:rsidRDefault="00846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576" w:rsidRDefault="00846576">
    <w:pPr>
      <w:pStyle w:val="Pta"/>
    </w:pPr>
    <w:r w:rsidRPr="00846576"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185420</wp:posOffset>
          </wp:positionH>
          <wp:positionV relativeFrom="paragraph">
            <wp:posOffset>-236855</wp:posOffset>
          </wp:positionV>
          <wp:extent cx="6477000" cy="752475"/>
          <wp:effectExtent l="19050" t="0" r="0" b="0"/>
          <wp:wrapThrough wrapText="bothSides">
            <wp:wrapPolygon edited="0">
              <wp:start x="-64" y="0"/>
              <wp:lineTo x="-64" y="21255"/>
              <wp:lineTo x="21600" y="21255"/>
              <wp:lineTo x="21600" y="0"/>
              <wp:lineTo x="-64" y="0"/>
            </wp:wrapPolygon>
          </wp:wrapThrough>
          <wp:docPr id="56" name="Grafik 55" descr="footer_slovak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_slovaki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7000" cy="755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576" w:rsidRDefault="00846576">
      <w:r>
        <w:separator/>
      </w:r>
    </w:p>
  </w:footnote>
  <w:footnote w:type="continuationSeparator" w:id="0">
    <w:p w:rsidR="00846576" w:rsidRDefault="008465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576" w:rsidRDefault="00846576">
    <w:pPr>
      <w:pStyle w:val="Hlavika"/>
    </w:pPr>
    <w:r w:rsidRPr="00846576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2166620</wp:posOffset>
          </wp:positionH>
          <wp:positionV relativeFrom="paragraph">
            <wp:posOffset>-450215</wp:posOffset>
          </wp:positionV>
          <wp:extent cx="4495800" cy="1743075"/>
          <wp:effectExtent l="19050" t="0" r="0" b="0"/>
          <wp:wrapThrough wrapText="bothSides">
            <wp:wrapPolygon edited="0">
              <wp:start x="-91" y="0"/>
              <wp:lineTo x="-91" y="21269"/>
              <wp:lineTo x="21594" y="21269"/>
              <wp:lineTo x="21594" y="0"/>
              <wp:lineTo x="-91" y="0"/>
            </wp:wrapPolygon>
          </wp:wrapThrough>
          <wp:docPr id="55" name="Grafik 54" descr="header_slovak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slovaki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97070" cy="1741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52CE015E"/>
    <w:multiLevelType w:val="multilevel"/>
    <w:tmpl w:val="B7EED7E0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6CC2AD2"/>
    <w:multiLevelType w:val="multilevel"/>
    <w:tmpl w:val="1EFCEC30"/>
    <w:numStyleLink w:val="ListemitAufzhlungszeichenDoka"/>
  </w:abstractNum>
  <w:abstractNum w:abstractNumId="24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1"/>
  </w:num>
  <w:num w:numId="12">
    <w:abstractNumId w:val="15"/>
  </w:num>
  <w:num w:numId="13">
    <w:abstractNumId w:val="0"/>
  </w:num>
  <w:num w:numId="14">
    <w:abstractNumId w:val="29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7"/>
  </w:num>
  <w:num w:numId="28">
    <w:abstractNumId w:val="28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E67884"/>
    <w:rsid w:val="00005BA4"/>
    <w:rsid w:val="0001239A"/>
    <w:rsid w:val="00015F66"/>
    <w:rsid w:val="00016591"/>
    <w:rsid w:val="000251EE"/>
    <w:rsid w:val="00030363"/>
    <w:rsid w:val="000457D7"/>
    <w:rsid w:val="0006146F"/>
    <w:rsid w:val="00066095"/>
    <w:rsid w:val="00072B49"/>
    <w:rsid w:val="00073AC8"/>
    <w:rsid w:val="00076DB5"/>
    <w:rsid w:val="000773D4"/>
    <w:rsid w:val="000931C4"/>
    <w:rsid w:val="000A4782"/>
    <w:rsid w:val="000A6BF4"/>
    <w:rsid w:val="000B7ED1"/>
    <w:rsid w:val="000C09CF"/>
    <w:rsid w:val="000C0E0C"/>
    <w:rsid w:val="000D0CDF"/>
    <w:rsid w:val="000D3FE3"/>
    <w:rsid w:val="000F0A26"/>
    <w:rsid w:val="000F27D8"/>
    <w:rsid w:val="000F2860"/>
    <w:rsid w:val="000F4755"/>
    <w:rsid w:val="000F6CA7"/>
    <w:rsid w:val="00101154"/>
    <w:rsid w:val="00121825"/>
    <w:rsid w:val="001377E1"/>
    <w:rsid w:val="00141D03"/>
    <w:rsid w:val="00145700"/>
    <w:rsid w:val="0015009A"/>
    <w:rsid w:val="00150745"/>
    <w:rsid w:val="00151116"/>
    <w:rsid w:val="001529C9"/>
    <w:rsid w:val="001532FF"/>
    <w:rsid w:val="001550EB"/>
    <w:rsid w:val="00161368"/>
    <w:rsid w:val="001629CD"/>
    <w:rsid w:val="00191504"/>
    <w:rsid w:val="00191F1C"/>
    <w:rsid w:val="00192844"/>
    <w:rsid w:val="0019341F"/>
    <w:rsid w:val="001A3C69"/>
    <w:rsid w:val="001B24D6"/>
    <w:rsid w:val="001B66E8"/>
    <w:rsid w:val="001C2B26"/>
    <w:rsid w:val="001D0F1F"/>
    <w:rsid w:val="001D775D"/>
    <w:rsid w:val="001E625B"/>
    <w:rsid w:val="001F0607"/>
    <w:rsid w:val="001F4501"/>
    <w:rsid w:val="0020125E"/>
    <w:rsid w:val="002046D6"/>
    <w:rsid w:val="00206107"/>
    <w:rsid w:val="00212D77"/>
    <w:rsid w:val="00217920"/>
    <w:rsid w:val="0022681D"/>
    <w:rsid w:val="0023241C"/>
    <w:rsid w:val="002349EA"/>
    <w:rsid w:val="0024357E"/>
    <w:rsid w:val="002518A2"/>
    <w:rsid w:val="00255FAB"/>
    <w:rsid w:val="00270768"/>
    <w:rsid w:val="0028229F"/>
    <w:rsid w:val="002878DF"/>
    <w:rsid w:val="00292958"/>
    <w:rsid w:val="002955F7"/>
    <w:rsid w:val="002A0E48"/>
    <w:rsid w:val="002A560B"/>
    <w:rsid w:val="002A6293"/>
    <w:rsid w:val="002A6736"/>
    <w:rsid w:val="002B7048"/>
    <w:rsid w:val="002B77BD"/>
    <w:rsid w:val="002C3B72"/>
    <w:rsid w:val="002C4E8E"/>
    <w:rsid w:val="002C79F1"/>
    <w:rsid w:val="002D1CC4"/>
    <w:rsid w:val="002F0538"/>
    <w:rsid w:val="002F6989"/>
    <w:rsid w:val="0030061E"/>
    <w:rsid w:val="00316391"/>
    <w:rsid w:val="003254C3"/>
    <w:rsid w:val="00325611"/>
    <w:rsid w:val="00371B67"/>
    <w:rsid w:val="00375913"/>
    <w:rsid w:val="003764D7"/>
    <w:rsid w:val="00380A98"/>
    <w:rsid w:val="00383394"/>
    <w:rsid w:val="00386AD2"/>
    <w:rsid w:val="00393CDB"/>
    <w:rsid w:val="003A5B0C"/>
    <w:rsid w:val="003A79FC"/>
    <w:rsid w:val="003B3FCB"/>
    <w:rsid w:val="003E1B7C"/>
    <w:rsid w:val="003E4C7C"/>
    <w:rsid w:val="003E679B"/>
    <w:rsid w:val="003F1085"/>
    <w:rsid w:val="003F2D41"/>
    <w:rsid w:val="00410041"/>
    <w:rsid w:val="00414531"/>
    <w:rsid w:val="004165BC"/>
    <w:rsid w:val="004235FA"/>
    <w:rsid w:val="00424EB9"/>
    <w:rsid w:val="004270A9"/>
    <w:rsid w:val="004361E6"/>
    <w:rsid w:val="00455EFF"/>
    <w:rsid w:val="00463017"/>
    <w:rsid w:val="004639B7"/>
    <w:rsid w:val="00463CD4"/>
    <w:rsid w:val="00474177"/>
    <w:rsid w:val="004758D0"/>
    <w:rsid w:val="0048426A"/>
    <w:rsid w:val="004A0EF2"/>
    <w:rsid w:val="004A11B0"/>
    <w:rsid w:val="004B0024"/>
    <w:rsid w:val="004E01A8"/>
    <w:rsid w:val="004E5EFD"/>
    <w:rsid w:val="004F0C47"/>
    <w:rsid w:val="00514C50"/>
    <w:rsid w:val="005151C6"/>
    <w:rsid w:val="0051534D"/>
    <w:rsid w:val="00522770"/>
    <w:rsid w:val="005257A0"/>
    <w:rsid w:val="00531302"/>
    <w:rsid w:val="00533B9D"/>
    <w:rsid w:val="00541415"/>
    <w:rsid w:val="005428D8"/>
    <w:rsid w:val="00564AF1"/>
    <w:rsid w:val="00594A33"/>
    <w:rsid w:val="005965EE"/>
    <w:rsid w:val="005C05EF"/>
    <w:rsid w:val="005C4ED3"/>
    <w:rsid w:val="005D590E"/>
    <w:rsid w:val="005F4E67"/>
    <w:rsid w:val="00605ED4"/>
    <w:rsid w:val="006174CA"/>
    <w:rsid w:val="0062650A"/>
    <w:rsid w:val="00626A22"/>
    <w:rsid w:val="00641955"/>
    <w:rsid w:val="006459F5"/>
    <w:rsid w:val="006542E6"/>
    <w:rsid w:val="006568C4"/>
    <w:rsid w:val="00673A41"/>
    <w:rsid w:val="006748FC"/>
    <w:rsid w:val="00676BB2"/>
    <w:rsid w:val="006A4302"/>
    <w:rsid w:val="006B44CA"/>
    <w:rsid w:val="006B6F45"/>
    <w:rsid w:val="006C0CAA"/>
    <w:rsid w:val="006D11DF"/>
    <w:rsid w:val="006D2F3F"/>
    <w:rsid w:val="006D4BCB"/>
    <w:rsid w:val="006E1201"/>
    <w:rsid w:val="006F4ED2"/>
    <w:rsid w:val="00700FC1"/>
    <w:rsid w:val="007107B6"/>
    <w:rsid w:val="00743D15"/>
    <w:rsid w:val="0074598C"/>
    <w:rsid w:val="007468BB"/>
    <w:rsid w:val="00754E98"/>
    <w:rsid w:val="007619EF"/>
    <w:rsid w:val="00765BFB"/>
    <w:rsid w:val="00782A7A"/>
    <w:rsid w:val="007A4A33"/>
    <w:rsid w:val="007B112B"/>
    <w:rsid w:val="007B27E3"/>
    <w:rsid w:val="007B36E6"/>
    <w:rsid w:val="007C1F7C"/>
    <w:rsid w:val="007C4F72"/>
    <w:rsid w:val="007D13FB"/>
    <w:rsid w:val="007D3940"/>
    <w:rsid w:val="007D4E70"/>
    <w:rsid w:val="007E09C2"/>
    <w:rsid w:val="007E243A"/>
    <w:rsid w:val="007F1B5C"/>
    <w:rsid w:val="00802C3F"/>
    <w:rsid w:val="0080378C"/>
    <w:rsid w:val="008071E0"/>
    <w:rsid w:val="00807495"/>
    <w:rsid w:val="008122E0"/>
    <w:rsid w:val="008168B4"/>
    <w:rsid w:val="00826274"/>
    <w:rsid w:val="00841263"/>
    <w:rsid w:val="0084602A"/>
    <w:rsid w:val="00846576"/>
    <w:rsid w:val="00853D71"/>
    <w:rsid w:val="00856656"/>
    <w:rsid w:val="00861C28"/>
    <w:rsid w:val="00862648"/>
    <w:rsid w:val="0087423F"/>
    <w:rsid w:val="008850B1"/>
    <w:rsid w:val="0088590F"/>
    <w:rsid w:val="00892BD9"/>
    <w:rsid w:val="008938F0"/>
    <w:rsid w:val="00894E04"/>
    <w:rsid w:val="008B7FD4"/>
    <w:rsid w:val="008C24F7"/>
    <w:rsid w:val="008C3FD8"/>
    <w:rsid w:val="008C7981"/>
    <w:rsid w:val="008D1E1D"/>
    <w:rsid w:val="008D3FB1"/>
    <w:rsid w:val="008E01B1"/>
    <w:rsid w:val="008E371D"/>
    <w:rsid w:val="009036B6"/>
    <w:rsid w:val="009059DD"/>
    <w:rsid w:val="0091326C"/>
    <w:rsid w:val="0091399C"/>
    <w:rsid w:val="009142E4"/>
    <w:rsid w:val="009249D5"/>
    <w:rsid w:val="00925429"/>
    <w:rsid w:val="0093020F"/>
    <w:rsid w:val="009355F1"/>
    <w:rsid w:val="00946116"/>
    <w:rsid w:val="00947EF7"/>
    <w:rsid w:val="00950FA8"/>
    <w:rsid w:val="00955FDB"/>
    <w:rsid w:val="009641AB"/>
    <w:rsid w:val="00966E67"/>
    <w:rsid w:val="00971C3F"/>
    <w:rsid w:val="00971E7C"/>
    <w:rsid w:val="00975006"/>
    <w:rsid w:val="009753D5"/>
    <w:rsid w:val="00980B19"/>
    <w:rsid w:val="009834DC"/>
    <w:rsid w:val="00992DAA"/>
    <w:rsid w:val="009A00A8"/>
    <w:rsid w:val="009A0EB6"/>
    <w:rsid w:val="009A1B3F"/>
    <w:rsid w:val="009A2A80"/>
    <w:rsid w:val="009A3E1E"/>
    <w:rsid w:val="009E3BD4"/>
    <w:rsid w:val="009F502C"/>
    <w:rsid w:val="009F780B"/>
    <w:rsid w:val="00A0387C"/>
    <w:rsid w:val="00A17DD2"/>
    <w:rsid w:val="00A247B8"/>
    <w:rsid w:val="00A25681"/>
    <w:rsid w:val="00A262A3"/>
    <w:rsid w:val="00A4043A"/>
    <w:rsid w:val="00A62EEB"/>
    <w:rsid w:val="00A758AD"/>
    <w:rsid w:val="00A80792"/>
    <w:rsid w:val="00A80CDE"/>
    <w:rsid w:val="00A833FC"/>
    <w:rsid w:val="00A957C5"/>
    <w:rsid w:val="00AA1120"/>
    <w:rsid w:val="00AA4BB9"/>
    <w:rsid w:val="00AB4CCF"/>
    <w:rsid w:val="00AB5699"/>
    <w:rsid w:val="00AE3D60"/>
    <w:rsid w:val="00AE68AC"/>
    <w:rsid w:val="00AF032B"/>
    <w:rsid w:val="00AF0FDF"/>
    <w:rsid w:val="00AF4B4A"/>
    <w:rsid w:val="00AF7050"/>
    <w:rsid w:val="00B03209"/>
    <w:rsid w:val="00B10489"/>
    <w:rsid w:val="00B17C01"/>
    <w:rsid w:val="00B31243"/>
    <w:rsid w:val="00B3679E"/>
    <w:rsid w:val="00B43CC4"/>
    <w:rsid w:val="00B56D6D"/>
    <w:rsid w:val="00B75217"/>
    <w:rsid w:val="00B878D2"/>
    <w:rsid w:val="00B924BD"/>
    <w:rsid w:val="00BA38D4"/>
    <w:rsid w:val="00BA412F"/>
    <w:rsid w:val="00BA4A3F"/>
    <w:rsid w:val="00BA6027"/>
    <w:rsid w:val="00BB5CC5"/>
    <w:rsid w:val="00BD6411"/>
    <w:rsid w:val="00BE6351"/>
    <w:rsid w:val="00BF3671"/>
    <w:rsid w:val="00BF4F0B"/>
    <w:rsid w:val="00BF53C0"/>
    <w:rsid w:val="00C0412F"/>
    <w:rsid w:val="00C07526"/>
    <w:rsid w:val="00C3199D"/>
    <w:rsid w:val="00C54060"/>
    <w:rsid w:val="00C540FC"/>
    <w:rsid w:val="00C54DD9"/>
    <w:rsid w:val="00C6065C"/>
    <w:rsid w:val="00C700EB"/>
    <w:rsid w:val="00C76077"/>
    <w:rsid w:val="00C82CDD"/>
    <w:rsid w:val="00C84193"/>
    <w:rsid w:val="00C846DE"/>
    <w:rsid w:val="00C87F73"/>
    <w:rsid w:val="00C969D7"/>
    <w:rsid w:val="00C97B3E"/>
    <w:rsid w:val="00CA269C"/>
    <w:rsid w:val="00CC3127"/>
    <w:rsid w:val="00CC6205"/>
    <w:rsid w:val="00CC7851"/>
    <w:rsid w:val="00CC78E2"/>
    <w:rsid w:val="00CE716B"/>
    <w:rsid w:val="00CF3205"/>
    <w:rsid w:val="00CF52D3"/>
    <w:rsid w:val="00D13D5D"/>
    <w:rsid w:val="00D16444"/>
    <w:rsid w:val="00D16F2B"/>
    <w:rsid w:val="00D21002"/>
    <w:rsid w:val="00D260AF"/>
    <w:rsid w:val="00D35DAE"/>
    <w:rsid w:val="00D366AC"/>
    <w:rsid w:val="00D42D17"/>
    <w:rsid w:val="00D53AF3"/>
    <w:rsid w:val="00D54F3D"/>
    <w:rsid w:val="00D5564E"/>
    <w:rsid w:val="00D5596D"/>
    <w:rsid w:val="00D663D3"/>
    <w:rsid w:val="00D70E7C"/>
    <w:rsid w:val="00D77625"/>
    <w:rsid w:val="00D7770E"/>
    <w:rsid w:val="00D9470E"/>
    <w:rsid w:val="00D95201"/>
    <w:rsid w:val="00DA3001"/>
    <w:rsid w:val="00DA459A"/>
    <w:rsid w:val="00DB557B"/>
    <w:rsid w:val="00DB59D2"/>
    <w:rsid w:val="00DC30D3"/>
    <w:rsid w:val="00DD0AA3"/>
    <w:rsid w:val="00DE09B4"/>
    <w:rsid w:val="00DE2E10"/>
    <w:rsid w:val="00E01C63"/>
    <w:rsid w:val="00E0389B"/>
    <w:rsid w:val="00E42DE3"/>
    <w:rsid w:val="00E454A2"/>
    <w:rsid w:val="00E46FD1"/>
    <w:rsid w:val="00E51BBF"/>
    <w:rsid w:val="00E67884"/>
    <w:rsid w:val="00E80C5C"/>
    <w:rsid w:val="00E821B8"/>
    <w:rsid w:val="00E863D4"/>
    <w:rsid w:val="00E90D17"/>
    <w:rsid w:val="00E92FD5"/>
    <w:rsid w:val="00EA0280"/>
    <w:rsid w:val="00EA377C"/>
    <w:rsid w:val="00EC544C"/>
    <w:rsid w:val="00EC77A6"/>
    <w:rsid w:val="00EC7A4A"/>
    <w:rsid w:val="00ED11AA"/>
    <w:rsid w:val="00F12941"/>
    <w:rsid w:val="00F14D8B"/>
    <w:rsid w:val="00F15F1C"/>
    <w:rsid w:val="00F162CE"/>
    <w:rsid w:val="00F20741"/>
    <w:rsid w:val="00F500C7"/>
    <w:rsid w:val="00F50BEE"/>
    <w:rsid w:val="00F74863"/>
    <w:rsid w:val="00F76C46"/>
    <w:rsid w:val="00F97455"/>
    <w:rsid w:val="00FA7083"/>
    <w:rsid w:val="00FB5539"/>
    <w:rsid w:val="00FB575D"/>
    <w:rsid w:val="00FC06EC"/>
    <w:rsid w:val="00FD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46576"/>
    <w:rPr>
      <w:rFonts w:ascii="Verdana" w:eastAsiaTheme="minorHAnsi" w:hAnsi="Verdana"/>
      <w:color w:val="000000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rFonts w:ascii="Arial" w:eastAsia="Times New Roman" w:hAnsi="Arial"/>
      <w:b/>
      <w:bCs/>
      <w:sz w:val="22"/>
      <w:u w:val="single"/>
      <w:lang w:val="de-AT" w:eastAsia="en-US"/>
    </w:rPr>
  </w:style>
  <w:style w:type="paragraph" w:styleId="Nadpis2">
    <w:name w:val="heading 2"/>
    <w:basedOn w:val="Normlny"/>
    <w:next w:val="Normlny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rFonts w:ascii="Arial" w:eastAsia="Times New Roman" w:hAnsi="Arial"/>
      <w:b/>
      <w:bCs/>
      <w:sz w:val="22"/>
      <w:lang w:val="de-AT" w:eastAsia="en-US"/>
    </w:rPr>
  </w:style>
  <w:style w:type="paragraph" w:styleId="Nadpis3">
    <w:name w:val="heading 3"/>
    <w:basedOn w:val="Normlny"/>
    <w:next w:val="Normlny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rFonts w:ascii="Arial" w:eastAsia="Times New Roman" w:hAnsi="Arial"/>
      <w:bCs/>
      <w:sz w:val="22"/>
      <w:u w:val="single"/>
      <w:lang w:val="de-AT" w:eastAsia="en-US"/>
    </w:rPr>
  </w:style>
  <w:style w:type="paragraph" w:styleId="Nadpis4">
    <w:name w:val="heading 4"/>
    <w:basedOn w:val="Normlny"/>
    <w:next w:val="Normlny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rFonts w:ascii="Arial" w:eastAsia="Times New Roman" w:hAnsi="Arial"/>
      <w:sz w:val="22"/>
      <w:szCs w:val="20"/>
      <w:lang w:val="de-DE" w:eastAsia="de-DE"/>
    </w:rPr>
  </w:style>
  <w:style w:type="paragraph" w:styleId="Nadpis5">
    <w:name w:val="heading 5"/>
    <w:basedOn w:val="Normlny"/>
    <w:next w:val="Normlny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Arial" w:eastAsia="Times New Roman" w:hAnsi="Arial"/>
      <w:b/>
      <w:i/>
      <w:sz w:val="26"/>
      <w:szCs w:val="20"/>
      <w:lang w:val="de-DE" w:eastAsia="de-DE"/>
    </w:rPr>
  </w:style>
  <w:style w:type="paragraph" w:styleId="Nadpis6">
    <w:name w:val="heading 6"/>
    <w:basedOn w:val="Normlny"/>
    <w:next w:val="Normlny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Arial" w:eastAsia="Times New Roman" w:hAnsi="Arial"/>
      <w:b/>
      <w:sz w:val="22"/>
      <w:szCs w:val="20"/>
      <w:lang w:val="de-DE" w:eastAsia="de-DE"/>
    </w:rPr>
  </w:style>
  <w:style w:type="paragraph" w:styleId="Nadpis7">
    <w:name w:val="heading 7"/>
    <w:basedOn w:val="Normlny"/>
    <w:next w:val="Normlny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eastAsia="Times New Roman" w:hAnsi="Arial"/>
      <w:sz w:val="22"/>
      <w:szCs w:val="20"/>
      <w:lang w:val="de-DE" w:eastAsia="de-DE"/>
    </w:rPr>
  </w:style>
  <w:style w:type="paragraph" w:styleId="Nadpis8">
    <w:name w:val="heading 8"/>
    <w:basedOn w:val="Normlny"/>
    <w:next w:val="Normlny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eastAsia="Times New Roman" w:hAnsi="Arial"/>
      <w:i/>
      <w:sz w:val="22"/>
      <w:szCs w:val="20"/>
      <w:lang w:val="de-DE" w:eastAsia="de-DE"/>
    </w:rPr>
  </w:style>
  <w:style w:type="paragraph" w:styleId="Nadpis9">
    <w:name w:val="heading 9"/>
    <w:basedOn w:val="Normlny"/>
    <w:next w:val="Normlny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eastAsia="Times New Roman" w:hAnsi="Arial"/>
      <w:sz w:val="22"/>
      <w:szCs w:val="20"/>
      <w:lang w:val="de-DE" w:eastAsia="de-D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semiHidden/>
    <w:rsid w:val="00925429"/>
    <w:pPr>
      <w:tabs>
        <w:tab w:val="center" w:pos="4536"/>
        <w:tab w:val="right" w:pos="9072"/>
      </w:tabs>
    </w:pPr>
    <w:rPr>
      <w:rFonts w:ascii="Arial" w:eastAsia="Times New Roman" w:hAnsi="Arial"/>
      <w:sz w:val="22"/>
      <w:lang w:val="de-DE" w:eastAsia="en-US"/>
    </w:rPr>
  </w:style>
  <w:style w:type="paragraph" w:styleId="Pta">
    <w:name w:val="footer"/>
    <w:basedOn w:val="Normlny"/>
    <w:semiHidden/>
    <w:rsid w:val="00925429"/>
    <w:pPr>
      <w:tabs>
        <w:tab w:val="center" w:pos="4536"/>
        <w:tab w:val="right" w:pos="9072"/>
      </w:tabs>
    </w:pPr>
    <w:rPr>
      <w:rFonts w:ascii="Arial" w:eastAsia="Times New Roman" w:hAnsi="Arial"/>
      <w:sz w:val="22"/>
      <w:lang w:val="de-DE" w:eastAsia="en-US"/>
    </w:rPr>
  </w:style>
  <w:style w:type="character" w:styleId="slostrany">
    <w:name w:val="page number"/>
    <w:basedOn w:val="Predvolenpsmoodseku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truktradokumentu">
    <w:name w:val="Document Map"/>
    <w:basedOn w:val="Normlny"/>
    <w:semiHidden/>
    <w:rsid w:val="00925429"/>
    <w:pPr>
      <w:shd w:val="clear" w:color="auto" w:fill="000080"/>
    </w:pPr>
    <w:rPr>
      <w:rFonts w:ascii="Tahoma" w:eastAsia="Times New Roman" w:hAnsi="Tahoma" w:cs="Tahoma"/>
      <w:sz w:val="22"/>
      <w:lang w:val="de-DE" w:eastAsia="en-US"/>
    </w:rPr>
  </w:style>
  <w:style w:type="numbering" w:customStyle="1" w:styleId="ListemitAufzhlungszeichenDoka">
    <w:name w:val="Liste mit Aufzählungszeichen Doka"/>
    <w:basedOn w:val="Bezzoznamu"/>
    <w:rsid w:val="00C846DE"/>
    <w:pPr>
      <w:numPr>
        <w:numId w:val="30"/>
      </w:numPr>
    </w:pPr>
  </w:style>
  <w:style w:type="character" w:styleId="Odkaznakomentr">
    <w:name w:val="annotation reference"/>
    <w:basedOn w:val="Predvolenpsmoodseku"/>
    <w:uiPriority w:val="99"/>
    <w:semiHidden/>
    <w:unhideWhenUsed/>
    <w:rsid w:val="0001659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16591"/>
    <w:rPr>
      <w:rFonts w:ascii="Arial" w:eastAsia="Times New Roman" w:hAnsi="Arial"/>
      <w:sz w:val="20"/>
      <w:szCs w:val="20"/>
      <w:lang w:val="de-DE"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16591"/>
    <w:rPr>
      <w:rFonts w:ascii="Arial" w:hAnsi="Arial"/>
      <w:color w:val="000000"/>
      <w:lang w:val="de-D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1659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16591"/>
    <w:rPr>
      <w:b/>
      <w:bCs/>
    </w:rPr>
  </w:style>
  <w:style w:type="paragraph" w:styleId="Revzia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16591"/>
    <w:rPr>
      <w:rFonts w:ascii="Tahoma" w:eastAsia="Times New Roman" w:hAnsi="Tahoma" w:cs="Tahoma"/>
      <w:sz w:val="16"/>
      <w:szCs w:val="16"/>
      <w:lang w:val="de-DE"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textovprepojenie">
    <w:name w:val="Hyperlink"/>
    <w:basedOn w:val="Predvolenpsmoodseku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5EBD7-E5E4-4A4E-8860-81AE87071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Briefvorlage nach AA DG- R1-MSD-0001 02 DEU</vt:lpstr>
    </vt:vector>
  </TitlesOfParts>
  <Company>Umdasch Group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Turániová Terézia</dc:creator>
  <cp:lastModifiedBy>Turániová Terézia</cp:lastModifiedBy>
  <cp:revision>2</cp:revision>
  <cp:lastPrinted>2006-02-13T12:39:00Z</cp:lastPrinted>
  <dcterms:created xsi:type="dcterms:W3CDTF">2017-10-20T08:59:00Z</dcterms:created>
  <dcterms:modified xsi:type="dcterms:W3CDTF">2017-10-20T09:14:00Z</dcterms:modified>
</cp:coreProperties>
</file>