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F5DFE" w:rsidRDefault="00C31551" w:rsidP="00C31551">
      <w:pPr>
        <w:pStyle w:val="SubHead"/>
        <w:jc w:val="right"/>
        <w:rPr>
          <w:rFonts w:cs="Arial"/>
          <w:b w:val="0"/>
          <w:sz w:val="20"/>
        </w:rPr>
      </w:pPr>
      <w:r w:rsidRPr="00BF5DFE">
        <w:rPr>
          <w:rFonts w:cs="Arial"/>
          <w:b w:val="0"/>
          <w:sz w:val="20"/>
        </w:rPr>
        <w:t xml:space="preserve">Amstetten, </w:t>
      </w:r>
      <w:r w:rsidR="000226EA">
        <w:rPr>
          <w:rFonts w:cs="Arial"/>
          <w:b w:val="0"/>
          <w:sz w:val="20"/>
        </w:rPr>
        <w:t>Januar</w:t>
      </w:r>
      <w:r w:rsidRPr="00BF5DFE">
        <w:rPr>
          <w:rFonts w:cs="Arial"/>
          <w:b w:val="0"/>
          <w:sz w:val="20"/>
        </w:rPr>
        <w:t xml:space="preserve"> 201</w:t>
      </w:r>
      <w:r w:rsidR="000226EA">
        <w:rPr>
          <w:rFonts w:cs="Arial"/>
          <w:b w:val="0"/>
          <w:sz w:val="20"/>
        </w:rPr>
        <w:t>2</w:t>
      </w:r>
    </w:p>
    <w:p w:rsidR="00C31551" w:rsidRPr="00BF5DFE" w:rsidRDefault="00C31551" w:rsidP="00C31551">
      <w:pPr>
        <w:pStyle w:val="SubHead"/>
        <w:jc w:val="right"/>
        <w:rPr>
          <w:rFonts w:cs="Arial"/>
          <w:b w:val="0"/>
          <w:szCs w:val="22"/>
        </w:rPr>
      </w:pPr>
    </w:p>
    <w:p w:rsidR="00BF5DFE" w:rsidRPr="00BF5DFE" w:rsidRDefault="00BF5DFE" w:rsidP="00C31551">
      <w:pPr>
        <w:pStyle w:val="SubHead"/>
        <w:jc w:val="right"/>
        <w:rPr>
          <w:rFonts w:cs="Arial"/>
          <w:b w:val="0"/>
          <w:szCs w:val="22"/>
        </w:rPr>
      </w:pPr>
    </w:p>
    <w:p w:rsidR="00C31551" w:rsidRPr="00BF5DFE" w:rsidRDefault="00BF5DFE" w:rsidP="00C31551">
      <w:pPr>
        <w:pStyle w:val="SubHead"/>
        <w:jc w:val="center"/>
        <w:rPr>
          <w:rFonts w:cs="Arial"/>
          <w:szCs w:val="22"/>
        </w:rPr>
      </w:pPr>
      <w:r w:rsidRPr="00BF5DFE">
        <w:rPr>
          <w:rFonts w:cs="Arial"/>
          <w:szCs w:val="22"/>
        </w:rPr>
        <w:t>Presseinformation</w:t>
      </w:r>
    </w:p>
    <w:p w:rsidR="00BF5DFE" w:rsidRPr="00BF5DFE" w:rsidRDefault="00BF5DFE">
      <w:pPr>
        <w:pStyle w:val="SubHead"/>
        <w:rPr>
          <w:rFonts w:cs="Arial"/>
          <w:szCs w:val="22"/>
        </w:rPr>
      </w:pPr>
    </w:p>
    <w:p w:rsidR="00C31551" w:rsidRPr="00BF5DFE" w:rsidRDefault="00C31551">
      <w:pPr>
        <w:pStyle w:val="SubHead"/>
        <w:rPr>
          <w:rFonts w:cs="Arial"/>
          <w:szCs w:val="22"/>
        </w:rPr>
      </w:pPr>
    </w:p>
    <w:p w:rsidR="001A780D" w:rsidRPr="000226EA" w:rsidRDefault="000226EA" w:rsidP="001A780D">
      <w:pPr>
        <w:pStyle w:val="berschrift1"/>
        <w:spacing w:line="264" w:lineRule="auto"/>
        <w:rPr>
          <w:szCs w:val="32"/>
        </w:rPr>
      </w:pPr>
      <w:r w:rsidRPr="000226EA">
        <w:rPr>
          <w:szCs w:val="32"/>
        </w:rPr>
        <w:t>Welthöchster A-Pylon fertiggestellt</w:t>
      </w:r>
    </w:p>
    <w:p w:rsidR="001A780D" w:rsidRPr="000226EA" w:rsidRDefault="001A780D" w:rsidP="000226EA">
      <w:pPr>
        <w:pStyle w:val="Einleitung"/>
        <w:spacing w:line="264" w:lineRule="auto"/>
        <w:rPr>
          <w:rFonts w:cs="Arial"/>
          <w:szCs w:val="22"/>
        </w:rPr>
      </w:pPr>
    </w:p>
    <w:p w:rsidR="000226EA" w:rsidRDefault="000226EA" w:rsidP="000226EA">
      <w:pPr>
        <w:shd w:val="clear" w:color="auto" w:fill="FFFFFF"/>
        <w:spacing w:line="264" w:lineRule="auto"/>
        <w:rPr>
          <w:rFonts w:cs="Arial"/>
          <w:color w:val="313131"/>
          <w:szCs w:val="22"/>
        </w:rPr>
      </w:pPr>
      <w:r>
        <w:rPr>
          <w:rFonts w:cs="Arial"/>
          <w:color w:val="313131"/>
          <w:szCs w:val="22"/>
        </w:rPr>
        <w:t xml:space="preserve">Am </w:t>
      </w:r>
      <w:r w:rsidRPr="000226EA">
        <w:rPr>
          <w:rFonts w:cs="Arial"/>
          <w:color w:val="313131"/>
          <w:szCs w:val="22"/>
        </w:rPr>
        <w:t>1. September 2012 wird in</w:t>
      </w:r>
      <w:r>
        <w:rPr>
          <w:rFonts w:cs="Arial"/>
          <w:color w:val="313131"/>
          <w:szCs w:val="22"/>
        </w:rPr>
        <w:t xml:space="preserve"> </w:t>
      </w:r>
      <w:r w:rsidRPr="000226EA">
        <w:rPr>
          <w:rFonts w:cs="Arial"/>
          <w:color w:val="313131"/>
          <w:szCs w:val="22"/>
        </w:rPr>
        <w:t>Wladiwostok, im Fernen Osten Russlands, das 24.</w:t>
      </w:r>
      <w:r>
        <w:rPr>
          <w:rFonts w:cs="Arial"/>
          <w:color w:val="313131"/>
          <w:szCs w:val="22"/>
        </w:rPr>
        <w:t xml:space="preserve"> </w:t>
      </w:r>
      <w:r w:rsidRPr="000226EA">
        <w:rPr>
          <w:rFonts w:cs="Arial"/>
          <w:color w:val="313131"/>
          <w:szCs w:val="22"/>
        </w:rPr>
        <w:t xml:space="preserve">Gipfeltreffen des Asiatisch-Pazifischen Wirtschaftsforums (APEC) stattfinden. APEC ist eine </w:t>
      </w:r>
      <w:hyperlink r:id="rId7" w:tooltip="Internationale Organisation (Völkerrecht)" w:history="1">
        <w:r w:rsidRPr="000226EA">
          <w:rPr>
            <w:rFonts w:cs="Arial"/>
            <w:color w:val="313131"/>
            <w:szCs w:val="22"/>
          </w:rPr>
          <w:t>Internationale Organisation</w:t>
        </w:r>
      </w:hyperlink>
      <w:r w:rsidRPr="000226EA">
        <w:rPr>
          <w:rFonts w:cs="Arial"/>
          <w:color w:val="313131"/>
          <w:szCs w:val="22"/>
        </w:rPr>
        <w:t xml:space="preserve">, die es sich zum Ziel gesetzt hat, im pazifischen Raum eine </w:t>
      </w:r>
      <w:hyperlink r:id="rId8" w:tooltip="Freihandelsabkommen" w:history="1">
        <w:r w:rsidRPr="000226EA">
          <w:rPr>
            <w:rFonts w:cs="Arial"/>
            <w:color w:val="313131"/>
            <w:szCs w:val="22"/>
          </w:rPr>
          <w:t>Freihandelszone</w:t>
        </w:r>
      </w:hyperlink>
      <w:r w:rsidRPr="000226EA">
        <w:rPr>
          <w:rFonts w:cs="Arial"/>
          <w:color w:val="313131"/>
          <w:szCs w:val="22"/>
        </w:rPr>
        <w:t xml:space="preserve"> einzurichten. Um die Infrastruktur der Region an dieses Großereignis anzupassen, wird unter anderem ein Hotelkomplex auf der Insel </w:t>
      </w:r>
      <w:proofErr w:type="spellStart"/>
      <w:r w:rsidRPr="000226EA">
        <w:rPr>
          <w:rFonts w:cs="Arial"/>
          <w:color w:val="313131"/>
          <w:szCs w:val="22"/>
        </w:rPr>
        <w:t>Russky</w:t>
      </w:r>
      <w:proofErr w:type="spellEnd"/>
      <w:r w:rsidRPr="000226EA">
        <w:rPr>
          <w:rFonts w:cs="Arial"/>
          <w:color w:val="313131"/>
          <w:szCs w:val="22"/>
        </w:rPr>
        <w:t xml:space="preserve"> </w:t>
      </w:r>
      <w:proofErr w:type="spellStart"/>
      <w:r w:rsidRPr="000226EA">
        <w:rPr>
          <w:rFonts w:cs="Arial"/>
          <w:color w:val="313131"/>
          <w:szCs w:val="22"/>
        </w:rPr>
        <w:t>Ostrov</w:t>
      </w:r>
      <w:proofErr w:type="spellEnd"/>
      <w:r w:rsidRPr="000226EA">
        <w:rPr>
          <w:rFonts w:cs="Arial"/>
          <w:color w:val="313131"/>
          <w:szCs w:val="22"/>
        </w:rPr>
        <w:t xml:space="preserve"> errichtet. Als künftiges Bindeglied zum Festland dient eine 3.100 m lange, 4-spurige Autobahnbrücke.</w:t>
      </w:r>
      <w:r>
        <w:rPr>
          <w:rFonts w:cs="Arial"/>
          <w:color w:val="313131"/>
          <w:szCs w:val="22"/>
        </w:rPr>
        <w:t xml:space="preserve"> </w:t>
      </w:r>
      <w:r w:rsidRPr="000226EA">
        <w:rPr>
          <w:rFonts w:cs="Arial"/>
          <w:color w:val="313131"/>
          <w:szCs w:val="22"/>
        </w:rPr>
        <w:t>Mit einer Pfeilerhöhe von 320 m (20 m höher als die Stahlkonstruktion des Eiffelturms) und einer freien Spannweite von 1</w:t>
      </w:r>
      <w:r w:rsidR="004B7529">
        <w:rPr>
          <w:rFonts w:cs="Arial"/>
          <w:color w:val="313131"/>
          <w:szCs w:val="22"/>
        </w:rPr>
        <w:t>.</w:t>
      </w:r>
      <w:r w:rsidRPr="000226EA">
        <w:rPr>
          <w:rFonts w:cs="Arial"/>
          <w:color w:val="313131"/>
          <w:szCs w:val="22"/>
        </w:rPr>
        <w:t>104 m bricht dieses Projekt gleich zwei Weltrekorde</w:t>
      </w:r>
      <w:r>
        <w:rPr>
          <w:rFonts w:cs="Arial"/>
          <w:color w:val="313131"/>
          <w:szCs w:val="22"/>
        </w:rPr>
        <w:t xml:space="preserve">. </w:t>
      </w:r>
      <w:r w:rsidRPr="000226EA">
        <w:rPr>
          <w:rFonts w:cs="Arial"/>
          <w:color w:val="313131"/>
          <w:szCs w:val="22"/>
        </w:rPr>
        <w:t xml:space="preserve">Für die termingerechte Ausführung des Pfeilers auf der Festlandseite zeichnet die Baufirma </w:t>
      </w:r>
      <w:proofErr w:type="spellStart"/>
      <w:r w:rsidRPr="000226EA">
        <w:rPr>
          <w:rFonts w:cs="Arial"/>
          <w:color w:val="313131"/>
          <w:szCs w:val="22"/>
        </w:rPr>
        <w:t>Mostovik</w:t>
      </w:r>
      <w:proofErr w:type="spellEnd"/>
      <w:r w:rsidRPr="000226EA">
        <w:rPr>
          <w:rFonts w:cs="Arial"/>
          <w:color w:val="313131"/>
          <w:szCs w:val="22"/>
        </w:rPr>
        <w:t xml:space="preserve"> verantwortlich.</w:t>
      </w:r>
    </w:p>
    <w:p w:rsidR="000226EA" w:rsidRPr="000226EA" w:rsidRDefault="000226EA" w:rsidP="000226EA">
      <w:pPr>
        <w:shd w:val="clear" w:color="auto" w:fill="FFFFFF"/>
        <w:spacing w:line="264" w:lineRule="auto"/>
        <w:rPr>
          <w:rFonts w:cs="Arial"/>
          <w:color w:val="313131"/>
          <w:szCs w:val="22"/>
        </w:rPr>
      </w:pPr>
    </w:p>
    <w:p w:rsidR="000226EA" w:rsidRPr="000226EA" w:rsidRDefault="000226EA" w:rsidP="000226EA">
      <w:pPr>
        <w:shd w:val="clear" w:color="auto" w:fill="FFFFFF"/>
        <w:spacing w:line="264" w:lineRule="auto"/>
        <w:rPr>
          <w:rFonts w:cs="Arial"/>
          <w:color w:val="313131"/>
          <w:szCs w:val="22"/>
        </w:rPr>
      </w:pPr>
      <w:r w:rsidRPr="000226EA">
        <w:rPr>
          <w:rFonts w:cs="Arial"/>
          <w:color w:val="313131"/>
          <w:szCs w:val="22"/>
        </w:rPr>
        <w:t>Um den w</w:t>
      </w:r>
      <w:r>
        <w:rPr>
          <w:rFonts w:cs="Arial"/>
          <w:color w:val="313131"/>
          <w:szCs w:val="22"/>
        </w:rPr>
        <w:t>elthöchsten Pylon in A-Form bis</w:t>
      </w:r>
      <w:r w:rsidRPr="000226EA">
        <w:rPr>
          <w:rFonts w:cs="Arial"/>
          <w:color w:val="313131"/>
          <w:szCs w:val="22"/>
        </w:rPr>
        <w:t xml:space="preserve"> Anfang 2012</w:t>
      </w:r>
      <w:r>
        <w:rPr>
          <w:rFonts w:cs="Arial"/>
          <w:color w:val="313131"/>
          <w:szCs w:val="22"/>
        </w:rPr>
        <w:t xml:space="preserve"> fertig </w:t>
      </w:r>
      <w:r w:rsidRPr="000226EA">
        <w:rPr>
          <w:rFonts w:cs="Arial"/>
          <w:color w:val="313131"/>
          <w:szCs w:val="22"/>
        </w:rPr>
        <w:t>zu</w:t>
      </w:r>
      <w:r>
        <w:rPr>
          <w:rFonts w:cs="Arial"/>
          <w:color w:val="313131"/>
          <w:szCs w:val="22"/>
        </w:rPr>
        <w:t xml:space="preserve"> </w:t>
      </w:r>
      <w:r w:rsidRPr="000226EA">
        <w:rPr>
          <w:rFonts w:cs="Arial"/>
          <w:color w:val="313131"/>
          <w:szCs w:val="22"/>
        </w:rPr>
        <w:t xml:space="preserve">stellen, entschied sich </w:t>
      </w:r>
      <w:proofErr w:type="spellStart"/>
      <w:r w:rsidRPr="000226EA">
        <w:rPr>
          <w:rFonts w:cs="Arial"/>
          <w:color w:val="313131"/>
          <w:szCs w:val="22"/>
        </w:rPr>
        <w:t>Mostovik</w:t>
      </w:r>
      <w:proofErr w:type="spellEnd"/>
      <w:r w:rsidRPr="000226EA">
        <w:rPr>
          <w:rFonts w:cs="Arial"/>
          <w:color w:val="313131"/>
          <w:szCs w:val="22"/>
        </w:rPr>
        <w:t xml:space="preserve"> für eine leistungsstarke und zuverlässige Schalungslösung </w:t>
      </w:r>
      <w:r>
        <w:rPr>
          <w:rFonts w:cs="Arial"/>
          <w:color w:val="313131"/>
          <w:szCs w:val="22"/>
        </w:rPr>
        <w:t xml:space="preserve">von </w:t>
      </w:r>
      <w:proofErr w:type="spellStart"/>
      <w:r w:rsidRPr="000226EA">
        <w:rPr>
          <w:rFonts w:cs="Arial"/>
          <w:color w:val="313131"/>
          <w:szCs w:val="22"/>
        </w:rPr>
        <w:t>Doka</w:t>
      </w:r>
      <w:proofErr w:type="spellEnd"/>
      <w:r w:rsidRPr="000226EA">
        <w:rPr>
          <w:rFonts w:cs="Arial"/>
          <w:color w:val="313131"/>
          <w:szCs w:val="22"/>
        </w:rPr>
        <w:t xml:space="preserve">. Ausschlaggebend dafür war die große Erfahrung, die der Schalungsspezialist bei Infrastrukturprojekten rund um den Globus während der </w:t>
      </w:r>
      <w:r w:rsidR="004B7529">
        <w:rPr>
          <w:rFonts w:cs="Arial"/>
          <w:color w:val="313131"/>
          <w:szCs w:val="22"/>
        </w:rPr>
        <w:t xml:space="preserve">vergangenen </w:t>
      </w:r>
      <w:r w:rsidRPr="000226EA">
        <w:rPr>
          <w:rFonts w:cs="Arial"/>
          <w:color w:val="313131"/>
          <w:szCs w:val="22"/>
        </w:rPr>
        <w:t xml:space="preserve">50 Jahre sammeln konnte, insbesondere beim Bau der 306 m hohen A-Pylone der </w:t>
      </w:r>
      <w:proofErr w:type="spellStart"/>
      <w:r w:rsidRPr="000226EA">
        <w:rPr>
          <w:rFonts w:cs="Arial"/>
          <w:color w:val="313131"/>
          <w:szCs w:val="22"/>
        </w:rPr>
        <w:t>Sutong</w:t>
      </w:r>
      <w:proofErr w:type="spellEnd"/>
      <w:r w:rsidRPr="000226EA">
        <w:rPr>
          <w:rFonts w:cs="Arial"/>
          <w:color w:val="313131"/>
          <w:szCs w:val="22"/>
        </w:rPr>
        <w:t>-Brücke in China. Beim Projekt in Wladiwostok stellte jedoch nicht nur die Bauwerksgeometrie höchste Ansprüche an die Schalungsplanung. Auch die extreme geografische Lage mit häufig stürmischem Wetter und extremer Kälte in den Wintermonaten war auf dieser Baustelle eine echte Hera</w:t>
      </w:r>
      <w:r>
        <w:rPr>
          <w:rFonts w:cs="Arial"/>
          <w:color w:val="313131"/>
          <w:szCs w:val="22"/>
        </w:rPr>
        <w:t>usforderung.</w:t>
      </w:r>
      <w:r w:rsidRPr="000226EA">
        <w:rPr>
          <w:rFonts w:cs="Arial"/>
          <w:color w:val="313131"/>
          <w:szCs w:val="22"/>
        </w:rPr>
        <w:t xml:space="preserve"> </w:t>
      </w:r>
      <w:proofErr w:type="spellStart"/>
      <w:r w:rsidRPr="000226EA">
        <w:rPr>
          <w:rFonts w:cs="Arial"/>
          <w:color w:val="313131"/>
          <w:szCs w:val="22"/>
        </w:rPr>
        <w:t>Mostovik</w:t>
      </w:r>
      <w:proofErr w:type="spellEnd"/>
      <w:r w:rsidRPr="000226EA">
        <w:rPr>
          <w:rFonts w:cs="Arial"/>
          <w:color w:val="313131"/>
          <w:szCs w:val="22"/>
        </w:rPr>
        <w:t xml:space="preserve"> stellte von Beginn an klar, dass die Aufrechterhaltung eines geregelten und zügigen Baufortschritts oberste Priorität hatte. Um diese Vorgabe auch bei widrigsten Wetterverhältnissen zu erfüllen, entschied man sich für den Einsatz des selbstkletternden Schalungssystems SKE in Kombination mit 650 m² maßgeschneiderter Trägerschalung Top 50. Während im beengten Inneren der </w:t>
      </w:r>
      <w:proofErr w:type="spellStart"/>
      <w:r w:rsidRPr="000226EA">
        <w:rPr>
          <w:rFonts w:cs="Arial"/>
          <w:color w:val="313131"/>
          <w:szCs w:val="22"/>
        </w:rPr>
        <w:t>Pylonbeine</w:t>
      </w:r>
      <w:proofErr w:type="spellEnd"/>
      <w:r w:rsidRPr="000226EA">
        <w:rPr>
          <w:rFonts w:cs="Arial"/>
          <w:color w:val="313131"/>
          <w:szCs w:val="22"/>
        </w:rPr>
        <w:t xml:space="preserve"> die feingliedrige und sehr anpassungsfähige Selbstkletterschalung SKE50 zum Einsatz kam, stand an den Außenwänden die hochtragfähige Selbstkletterschalung SKE100 im Einsatz. Mit einer Tragkraft von 10 Tonnen je Konsole war sie zum kranlosen Heben der Trägerschalungselemente sowie von sieben verschiedenen Bühne</w:t>
      </w:r>
      <w:r>
        <w:rPr>
          <w:rFonts w:cs="Arial"/>
          <w:color w:val="313131"/>
          <w:szCs w:val="22"/>
        </w:rPr>
        <w:t>nebenen optimal dimensioniert.</w:t>
      </w:r>
    </w:p>
    <w:p w:rsidR="000226EA" w:rsidRPr="000226EA" w:rsidRDefault="000226EA" w:rsidP="000226EA">
      <w:pPr>
        <w:shd w:val="clear" w:color="auto" w:fill="FFFFFF"/>
        <w:spacing w:line="264" w:lineRule="auto"/>
        <w:rPr>
          <w:rFonts w:cs="Arial"/>
          <w:color w:val="313131"/>
          <w:szCs w:val="22"/>
        </w:rPr>
      </w:pPr>
    </w:p>
    <w:p w:rsidR="000226EA" w:rsidRPr="000226EA" w:rsidRDefault="000226EA" w:rsidP="000226EA">
      <w:pPr>
        <w:shd w:val="clear" w:color="auto" w:fill="FFFFFF"/>
        <w:spacing w:line="264" w:lineRule="auto"/>
        <w:rPr>
          <w:rFonts w:cs="Arial"/>
          <w:b/>
          <w:color w:val="313131"/>
          <w:szCs w:val="22"/>
        </w:rPr>
      </w:pPr>
      <w:r w:rsidRPr="000226EA">
        <w:rPr>
          <w:rFonts w:cs="Arial"/>
          <w:b/>
          <w:color w:val="313131"/>
          <w:szCs w:val="22"/>
        </w:rPr>
        <w:t>Wetterunabhängig schalen hält den Zeitplan</w:t>
      </w:r>
    </w:p>
    <w:p w:rsidR="000226EA" w:rsidRPr="000226EA" w:rsidRDefault="000226EA" w:rsidP="000226EA">
      <w:pPr>
        <w:shd w:val="clear" w:color="auto" w:fill="FFFFFF"/>
        <w:spacing w:line="264" w:lineRule="auto"/>
        <w:rPr>
          <w:rFonts w:cs="Arial"/>
          <w:color w:val="313131"/>
          <w:szCs w:val="22"/>
        </w:rPr>
      </w:pPr>
      <w:r w:rsidRPr="000226EA">
        <w:rPr>
          <w:rFonts w:cs="Arial"/>
          <w:color w:val="313131"/>
          <w:szCs w:val="22"/>
        </w:rPr>
        <w:t xml:space="preserve">Die ständige Verankerung der Klettergerüste am Bauwerk ermöglichte das </w:t>
      </w:r>
      <w:proofErr w:type="spellStart"/>
      <w:r w:rsidRPr="000226EA">
        <w:rPr>
          <w:rFonts w:cs="Arial"/>
          <w:color w:val="313131"/>
          <w:szCs w:val="22"/>
        </w:rPr>
        <w:t>kranlose</w:t>
      </w:r>
      <w:proofErr w:type="spellEnd"/>
      <w:r w:rsidRPr="000226EA">
        <w:rPr>
          <w:rFonts w:cs="Arial"/>
          <w:color w:val="313131"/>
          <w:szCs w:val="22"/>
        </w:rPr>
        <w:t xml:space="preserve"> und sichere Umsetzen von Schalung und Bühnen bei fast jedem Wetter. Besonders strikte Vorgaben zur Erzielung einer optimalen Betonfestigkeit machten eine weitere schalungstechnische Innovation erforderlich. Der </w:t>
      </w:r>
      <w:proofErr w:type="spellStart"/>
      <w:r w:rsidRPr="000226EA">
        <w:rPr>
          <w:rFonts w:cs="Arial"/>
          <w:color w:val="313131"/>
          <w:szCs w:val="22"/>
        </w:rPr>
        <w:t>Ortbeton</w:t>
      </w:r>
      <w:proofErr w:type="spellEnd"/>
      <w:r w:rsidRPr="000226EA">
        <w:rPr>
          <w:rFonts w:cs="Arial"/>
          <w:color w:val="313131"/>
          <w:szCs w:val="22"/>
        </w:rPr>
        <w:t xml:space="preserve"> musste vier Tage lang bei geschlossener Schalung aushärten, erst dann konnte die Schalung geöffnet werden. Um auch bei niedrigsten Temperaturen einen qualitativ hochwertigen Betoneinbau sicher</w:t>
      </w:r>
      <w:r>
        <w:rPr>
          <w:rFonts w:cs="Arial"/>
          <w:color w:val="313131"/>
          <w:szCs w:val="22"/>
        </w:rPr>
        <w:t xml:space="preserve"> </w:t>
      </w:r>
      <w:r w:rsidRPr="000226EA">
        <w:rPr>
          <w:rFonts w:cs="Arial"/>
          <w:color w:val="313131"/>
          <w:szCs w:val="22"/>
        </w:rPr>
        <w:t>z</w:t>
      </w:r>
      <w:r>
        <w:rPr>
          <w:rFonts w:cs="Arial"/>
          <w:color w:val="313131"/>
          <w:szCs w:val="22"/>
        </w:rPr>
        <w:t>u</w:t>
      </w:r>
      <w:r w:rsidRPr="000226EA">
        <w:rPr>
          <w:rFonts w:cs="Arial"/>
          <w:color w:val="313131"/>
          <w:szCs w:val="22"/>
        </w:rPr>
        <w:t xml:space="preserve"> stellen, umspannte </w:t>
      </w:r>
      <w:proofErr w:type="spellStart"/>
      <w:r w:rsidRPr="000226EA">
        <w:rPr>
          <w:rFonts w:cs="Arial"/>
          <w:color w:val="313131"/>
          <w:szCs w:val="22"/>
        </w:rPr>
        <w:t>Doka</w:t>
      </w:r>
      <w:proofErr w:type="spellEnd"/>
      <w:r w:rsidRPr="000226EA">
        <w:rPr>
          <w:rFonts w:cs="Arial"/>
          <w:color w:val="313131"/>
          <w:szCs w:val="22"/>
        </w:rPr>
        <w:t xml:space="preserve"> alle sieben Bühnenebenen mit einer robusten Gerüstplane und konstruierte ein aus sieben Segmenten bestehendes Dach. Der Arbeitsplatz war damit </w:t>
      </w:r>
      <w:r w:rsidRPr="000226EA">
        <w:rPr>
          <w:rFonts w:cs="Arial"/>
          <w:color w:val="313131"/>
          <w:szCs w:val="22"/>
        </w:rPr>
        <w:lastRenderedPageBreak/>
        <w:t xml:space="preserve">vollflächig </w:t>
      </w:r>
      <w:proofErr w:type="spellStart"/>
      <w:r w:rsidRPr="000226EA">
        <w:rPr>
          <w:rFonts w:cs="Arial"/>
          <w:color w:val="313131"/>
          <w:szCs w:val="22"/>
        </w:rPr>
        <w:t>eingehaust</w:t>
      </w:r>
      <w:proofErr w:type="spellEnd"/>
      <w:r w:rsidRPr="000226EA">
        <w:rPr>
          <w:rFonts w:cs="Arial"/>
          <w:color w:val="313131"/>
          <w:szCs w:val="22"/>
        </w:rPr>
        <w:t xml:space="preserve"> und konnte im Winter beheizt werden. Bei höheren Außentemperaturen sowie zur Einbringung von Bewehrungsstahl wurden die einzelnen Segmente des Daches auf Rollen ineinander geschoben. Die hohe Anpassungsfähigkeit von SKE an unterschiedliche </w:t>
      </w:r>
      <w:proofErr w:type="spellStart"/>
      <w:r w:rsidRPr="000226EA">
        <w:rPr>
          <w:rFonts w:cs="Arial"/>
          <w:color w:val="313131"/>
          <w:szCs w:val="22"/>
        </w:rPr>
        <w:t>Geometrien</w:t>
      </w:r>
      <w:proofErr w:type="spellEnd"/>
      <w:r w:rsidRPr="000226EA">
        <w:rPr>
          <w:rFonts w:cs="Arial"/>
          <w:color w:val="313131"/>
          <w:szCs w:val="22"/>
        </w:rPr>
        <w:t xml:space="preserve"> und Neigungen war bei diesem Projekt ein weiterer Vorteil, denn der maximale Querschnitt jedes </w:t>
      </w:r>
      <w:proofErr w:type="spellStart"/>
      <w:r w:rsidRPr="000226EA">
        <w:rPr>
          <w:rFonts w:cs="Arial"/>
          <w:color w:val="313131"/>
          <w:szCs w:val="22"/>
        </w:rPr>
        <w:t>Pylonbeins</w:t>
      </w:r>
      <w:proofErr w:type="spellEnd"/>
      <w:r w:rsidRPr="000226EA">
        <w:rPr>
          <w:rFonts w:cs="Arial"/>
          <w:color w:val="313131"/>
          <w:szCs w:val="22"/>
        </w:rPr>
        <w:t xml:space="preserve"> verjüngte sich von 13 m im ersten auf 7,5 m im 71. </w:t>
      </w:r>
      <w:proofErr w:type="spellStart"/>
      <w:r w:rsidRPr="000226EA">
        <w:rPr>
          <w:rFonts w:cs="Arial"/>
          <w:color w:val="313131"/>
          <w:szCs w:val="22"/>
        </w:rPr>
        <w:t>Betonierabschnitt</w:t>
      </w:r>
      <w:proofErr w:type="spellEnd"/>
      <w:r w:rsidRPr="000226EA">
        <w:rPr>
          <w:rFonts w:cs="Arial"/>
          <w:color w:val="313131"/>
          <w:szCs w:val="22"/>
        </w:rPr>
        <w:t xml:space="preserve">. Auch die Wandstärke nahm sukzessive von 2,0 m auf 0,75 m ab. Mittels </w:t>
      </w:r>
      <w:proofErr w:type="spellStart"/>
      <w:r w:rsidRPr="000226EA">
        <w:rPr>
          <w:rFonts w:cs="Arial"/>
          <w:color w:val="313131"/>
          <w:szCs w:val="22"/>
        </w:rPr>
        <w:t>teleskopierbarer</w:t>
      </w:r>
      <w:proofErr w:type="spellEnd"/>
      <w:r w:rsidRPr="000226EA">
        <w:rPr>
          <w:rFonts w:cs="Arial"/>
          <w:color w:val="313131"/>
          <w:szCs w:val="22"/>
        </w:rPr>
        <w:t xml:space="preserve"> Bühnen und einfach reduzierbarer Trägerschalungselemente erfolgte die stufenlose Anpassung </w:t>
      </w:r>
      <w:r w:rsidR="00081041">
        <w:rPr>
          <w:rFonts w:cs="Arial"/>
          <w:color w:val="313131"/>
          <w:szCs w:val="22"/>
        </w:rPr>
        <w:t xml:space="preserve">in jedem </w:t>
      </w:r>
      <w:proofErr w:type="spellStart"/>
      <w:r w:rsidR="00081041">
        <w:rPr>
          <w:rFonts w:cs="Arial"/>
          <w:color w:val="313131"/>
          <w:szCs w:val="22"/>
        </w:rPr>
        <w:t>Betonierabschnitt</w:t>
      </w:r>
      <w:proofErr w:type="spellEnd"/>
      <w:r w:rsidR="00081041">
        <w:rPr>
          <w:rFonts w:cs="Arial"/>
          <w:color w:val="313131"/>
          <w:szCs w:val="22"/>
        </w:rPr>
        <w:t xml:space="preserve"> zügig</w:t>
      </w:r>
      <w:r w:rsidRPr="000226EA">
        <w:rPr>
          <w:rFonts w:cs="Arial"/>
          <w:color w:val="313131"/>
          <w:szCs w:val="22"/>
        </w:rPr>
        <w:t>.</w:t>
      </w:r>
    </w:p>
    <w:p w:rsidR="000226EA" w:rsidRPr="000226EA" w:rsidRDefault="000226EA" w:rsidP="000226EA">
      <w:pPr>
        <w:shd w:val="clear" w:color="auto" w:fill="FFFFFF"/>
        <w:spacing w:line="264" w:lineRule="auto"/>
        <w:rPr>
          <w:rFonts w:cs="Arial"/>
          <w:color w:val="313131"/>
          <w:szCs w:val="22"/>
        </w:rPr>
      </w:pPr>
    </w:p>
    <w:p w:rsidR="000226EA" w:rsidRPr="000226EA" w:rsidRDefault="000226EA" w:rsidP="000226EA">
      <w:pPr>
        <w:shd w:val="clear" w:color="auto" w:fill="FFFFFF"/>
        <w:spacing w:line="264" w:lineRule="auto"/>
        <w:rPr>
          <w:rFonts w:cs="Arial"/>
          <w:b/>
          <w:color w:val="313131"/>
          <w:szCs w:val="22"/>
        </w:rPr>
      </w:pPr>
      <w:r w:rsidRPr="000226EA">
        <w:rPr>
          <w:rFonts w:cs="Arial"/>
          <w:b/>
          <w:color w:val="313131"/>
          <w:szCs w:val="22"/>
        </w:rPr>
        <w:t xml:space="preserve">24 h-Support durch </w:t>
      </w:r>
      <w:proofErr w:type="spellStart"/>
      <w:r w:rsidRPr="000226EA">
        <w:rPr>
          <w:rFonts w:cs="Arial"/>
          <w:b/>
          <w:color w:val="313131"/>
          <w:szCs w:val="22"/>
        </w:rPr>
        <w:t>Doka</w:t>
      </w:r>
      <w:proofErr w:type="spellEnd"/>
    </w:p>
    <w:p w:rsidR="001A780D" w:rsidRPr="000226EA" w:rsidRDefault="000226EA" w:rsidP="000226EA">
      <w:pPr>
        <w:overflowPunct/>
        <w:autoSpaceDE/>
        <w:autoSpaceDN/>
        <w:adjustRightInd/>
        <w:spacing w:line="264" w:lineRule="auto"/>
        <w:textAlignment w:val="auto"/>
        <w:rPr>
          <w:rFonts w:cs="Arial"/>
          <w:szCs w:val="22"/>
        </w:rPr>
      </w:pPr>
      <w:r w:rsidRPr="000226EA">
        <w:rPr>
          <w:rFonts w:cs="Arial"/>
          <w:color w:val="313131"/>
          <w:szCs w:val="22"/>
        </w:rPr>
        <w:t xml:space="preserve">Neben der Just-in-Time-Lieferung der Schalungslösung war </w:t>
      </w:r>
      <w:proofErr w:type="spellStart"/>
      <w:r w:rsidRPr="000226EA">
        <w:rPr>
          <w:rFonts w:cs="Arial"/>
          <w:color w:val="313131"/>
          <w:szCs w:val="22"/>
        </w:rPr>
        <w:t>Mostovik</w:t>
      </w:r>
      <w:proofErr w:type="spellEnd"/>
      <w:r w:rsidRPr="000226EA">
        <w:rPr>
          <w:rFonts w:cs="Arial"/>
          <w:color w:val="313131"/>
          <w:szCs w:val="22"/>
        </w:rPr>
        <w:t xml:space="preserve"> vor allem von der guten Baustellenbetreuung begeistert. Um den reibungslosen Verlauf der Schalarbeiten sicher zu stellen, waren ständig zwei </w:t>
      </w:r>
      <w:proofErr w:type="spellStart"/>
      <w:r w:rsidRPr="000226EA">
        <w:rPr>
          <w:rFonts w:cs="Arial"/>
          <w:color w:val="313131"/>
          <w:szCs w:val="22"/>
        </w:rPr>
        <w:t>Doka</w:t>
      </w:r>
      <w:proofErr w:type="spellEnd"/>
      <w:r w:rsidRPr="000226EA">
        <w:rPr>
          <w:rFonts w:cs="Arial"/>
          <w:color w:val="313131"/>
          <w:szCs w:val="22"/>
        </w:rPr>
        <w:t xml:space="preserve">-Richtmeister und ein Techniker vor Ort, die der Baustellenmannschaft praktisch rund um die Uhr mit Rat und Tat zur </w:t>
      </w:r>
      <w:r>
        <w:rPr>
          <w:rFonts w:cs="Arial"/>
          <w:color w:val="313131"/>
          <w:szCs w:val="22"/>
        </w:rPr>
        <w:t xml:space="preserve">Seite </w:t>
      </w:r>
      <w:r w:rsidRPr="000226EA">
        <w:rPr>
          <w:rFonts w:cs="Arial"/>
          <w:color w:val="313131"/>
          <w:szCs w:val="22"/>
        </w:rPr>
        <w:t xml:space="preserve">standen. Aufgrund des hohen </w:t>
      </w:r>
      <w:r>
        <w:rPr>
          <w:rFonts w:cs="Arial"/>
          <w:color w:val="313131"/>
          <w:szCs w:val="22"/>
        </w:rPr>
        <w:t>Termindruck</w:t>
      </w:r>
      <w:r w:rsidRPr="000226EA">
        <w:rPr>
          <w:rFonts w:cs="Arial"/>
          <w:color w:val="313131"/>
          <w:szCs w:val="22"/>
        </w:rPr>
        <w:t>s arbeitete die Mannschaft Tag und Nacht an der Fertigstellung des Mega-</w:t>
      </w:r>
      <w:proofErr w:type="spellStart"/>
      <w:r w:rsidRPr="000226EA">
        <w:rPr>
          <w:rFonts w:cs="Arial"/>
          <w:color w:val="313131"/>
          <w:szCs w:val="22"/>
        </w:rPr>
        <w:t>Pylons</w:t>
      </w:r>
      <w:proofErr w:type="spellEnd"/>
      <w:r w:rsidRPr="000226EA">
        <w:rPr>
          <w:rFonts w:cs="Arial"/>
          <w:color w:val="313131"/>
          <w:szCs w:val="22"/>
        </w:rPr>
        <w:t xml:space="preserve"> und realisierte so den vorgegebenen Wochentakt. Dieses Projekt ist ein weiteres Beispiel dafür, dass </w:t>
      </w:r>
      <w:proofErr w:type="spellStart"/>
      <w:r w:rsidRPr="000226EA">
        <w:rPr>
          <w:rFonts w:cs="Arial"/>
          <w:color w:val="313131"/>
          <w:szCs w:val="22"/>
        </w:rPr>
        <w:t>Doka</w:t>
      </w:r>
      <w:proofErr w:type="spellEnd"/>
      <w:r w:rsidRPr="000226EA">
        <w:rPr>
          <w:rFonts w:cs="Arial"/>
          <w:color w:val="313131"/>
          <w:szCs w:val="22"/>
        </w:rPr>
        <w:t xml:space="preserve">-Kunden </w:t>
      </w:r>
      <w:r>
        <w:rPr>
          <w:rFonts w:cs="Arial"/>
          <w:color w:val="313131"/>
          <w:szCs w:val="22"/>
        </w:rPr>
        <w:t xml:space="preserve">in aller </w:t>
      </w:r>
      <w:r w:rsidRPr="000226EA">
        <w:rPr>
          <w:rFonts w:cs="Arial"/>
          <w:color w:val="313131"/>
          <w:szCs w:val="22"/>
        </w:rPr>
        <w:t xml:space="preserve">Welt auf das geballte Know-how und die professionelle Unterstützung der </w:t>
      </w:r>
      <w:proofErr w:type="spellStart"/>
      <w:r w:rsidRPr="000226EA">
        <w:rPr>
          <w:rFonts w:cs="Arial"/>
          <w:color w:val="313131"/>
          <w:szCs w:val="22"/>
        </w:rPr>
        <w:t>Doka</w:t>
      </w:r>
      <w:proofErr w:type="spellEnd"/>
      <w:r w:rsidRPr="000226EA">
        <w:rPr>
          <w:rFonts w:cs="Arial"/>
          <w:color w:val="313131"/>
          <w:szCs w:val="22"/>
        </w:rPr>
        <w:t>-Zentrale zählen können.</w:t>
      </w:r>
    </w:p>
    <w:p w:rsidR="001A780D" w:rsidRDefault="001A780D" w:rsidP="001A780D">
      <w:pPr>
        <w:overflowPunct/>
        <w:autoSpaceDE/>
        <w:autoSpaceDN/>
        <w:adjustRightInd/>
        <w:spacing w:line="264" w:lineRule="auto"/>
        <w:textAlignment w:val="auto"/>
        <w:rPr>
          <w:rFonts w:cs="Arial"/>
          <w:b/>
          <w:szCs w:val="22"/>
        </w:rPr>
      </w:pPr>
    </w:p>
    <w:p w:rsidR="001A780D" w:rsidRPr="00D46032" w:rsidRDefault="001A780D" w:rsidP="001A780D">
      <w:pPr>
        <w:rPr>
          <w:rFonts w:cs="Arial"/>
          <w:b/>
          <w:sz w:val="20"/>
        </w:rPr>
      </w:pPr>
      <w:r w:rsidRPr="00D46032">
        <w:rPr>
          <w:rFonts w:cs="Arial"/>
          <w:b/>
          <w:sz w:val="20"/>
        </w:rPr>
        <w:t xml:space="preserve">Über </w:t>
      </w:r>
      <w:proofErr w:type="spellStart"/>
      <w:r w:rsidRPr="00D46032">
        <w:rPr>
          <w:rFonts w:cs="Arial"/>
          <w:b/>
          <w:sz w:val="20"/>
        </w:rPr>
        <w:t>Doka</w:t>
      </w:r>
      <w:proofErr w:type="spellEnd"/>
      <w:r w:rsidRPr="00D46032">
        <w:rPr>
          <w:rFonts w:cs="Arial"/>
          <w:b/>
          <w:sz w:val="20"/>
        </w:rPr>
        <w:t>:</w:t>
      </w:r>
    </w:p>
    <w:p w:rsidR="001A780D" w:rsidRPr="00D46032" w:rsidRDefault="001A780D" w:rsidP="001A780D">
      <w:pPr>
        <w:rPr>
          <w:rFonts w:cs="Arial"/>
          <w:sz w:val="20"/>
        </w:rPr>
      </w:pPr>
      <w:proofErr w:type="spellStart"/>
      <w:r w:rsidRPr="00D46032">
        <w:rPr>
          <w:rFonts w:cs="Arial"/>
          <w:sz w:val="20"/>
        </w:rPr>
        <w:t>Doka</w:t>
      </w:r>
      <w:proofErr w:type="spellEnd"/>
      <w:r w:rsidRPr="00D46032">
        <w:rPr>
          <w:rFonts w:cs="Arial"/>
          <w:sz w:val="20"/>
        </w:rPr>
        <w:t xml:space="preserve"> ist ein weltweit führendes Unternehmen in der Entwicklung, Herstellung und im Vertrieb von Schalungstechnik für alle Bereiche am Bau. Mit mehr als 140 Vertriebs- und Logistikstandorten in über 70 Ländern verfügt die </w:t>
      </w:r>
      <w:proofErr w:type="spellStart"/>
      <w:r w:rsidRPr="00D46032">
        <w:rPr>
          <w:rFonts w:cs="Arial"/>
          <w:sz w:val="20"/>
        </w:rPr>
        <w:t>Doka</w:t>
      </w:r>
      <w:proofErr w:type="spellEnd"/>
      <w:r w:rsidRPr="00D46032">
        <w:rPr>
          <w:rFonts w:cs="Arial"/>
          <w:sz w:val="20"/>
        </w:rPr>
        <w:t xml:space="preserve"> Group über ein leistungsstarkes Vertriebsnetz und garantiert damit die rasche und professionelle Bereitstellung von Material und technischem Support. Die </w:t>
      </w:r>
      <w:proofErr w:type="spellStart"/>
      <w:r w:rsidRPr="00D46032">
        <w:rPr>
          <w:rFonts w:cs="Arial"/>
          <w:sz w:val="20"/>
        </w:rPr>
        <w:t>Doka</w:t>
      </w:r>
      <w:proofErr w:type="spellEnd"/>
      <w:r w:rsidRPr="00D46032">
        <w:rPr>
          <w:rFonts w:cs="Arial"/>
          <w:sz w:val="20"/>
        </w:rPr>
        <w:t xml:space="preserve"> Group ist eine Division der </w:t>
      </w:r>
      <w:proofErr w:type="spellStart"/>
      <w:r w:rsidRPr="00D46032">
        <w:rPr>
          <w:rFonts w:cs="Arial"/>
          <w:sz w:val="20"/>
        </w:rPr>
        <w:t>Umdasch</w:t>
      </w:r>
      <w:proofErr w:type="spellEnd"/>
      <w:r w:rsidRPr="00D46032">
        <w:rPr>
          <w:rFonts w:cs="Arial"/>
          <w:sz w:val="20"/>
        </w:rPr>
        <w:t xml:space="preserve"> Group und beschäftigt weltweit mehr als 5</w:t>
      </w:r>
      <w:r w:rsidR="00F81A04">
        <w:rPr>
          <w:rFonts w:cs="Arial"/>
          <w:sz w:val="20"/>
        </w:rPr>
        <w:t>5</w:t>
      </w:r>
      <w:r w:rsidRPr="00D46032">
        <w:rPr>
          <w:rFonts w:cs="Arial"/>
          <w:sz w:val="20"/>
        </w:rPr>
        <w:t>00 Mitarbeiterinnen und Mitarbeiter.</w:t>
      </w:r>
    </w:p>
    <w:p w:rsidR="001A780D" w:rsidRPr="00D46032" w:rsidRDefault="001A780D" w:rsidP="001A780D">
      <w:pPr>
        <w:rPr>
          <w:rFonts w:cs="Arial"/>
          <w:sz w:val="20"/>
        </w:rPr>
      </w:pPr>
    </w:p>
    <w:p w:rsidR="001A780D" w:rsidRPr="00D46032" w:rsidRDefault="001A780D" w:rsidP="001A780D">
      <w:pPr>
        <w:rPr>
          <w:rFonts w:cs="Arial"/>
          <w:b/>
          <w:sz w:val="20"/>
        </w:rPr>
      </w:pPr>
      <w:r w:rsidRPr="00D46032">
        <w:rPr>
          <w:rFonts w:cs="Arial"/>
          <w:b/>
          <w:sz w:val="20"/>
        </w:rPr>
        <w:t>Pressekontakt:</w:t>
      </w:r>
    </w:p>
    <w:p w:rsidR="001A780D" w:rsidRPr="00D46032" w:rsidRDefault="008505AD" w:rsidP="001A780D">
      <w:pPr>
        <w:rPr>
          <w:rFonts w:cs="Arial"/>
          <w:sz w:val="20"/>
        </w:rPr>
      </w:pPr>
      <w:r>
        <w:rPr>
          <w:rFonts w:cs="Arial"/>
          <w:sz w:val="20"/>
        </w:rPr>
        <w:t>Jürgen Reimann</w:t>
      </w:r>
    </w:p>
    <w:p w:rsidR="001A780D" w:rsidRPr="00D46032" w:rsidRDefault="001A780D" w:rsidP="001A780D">
      <w:pPr>
        <w:rPr>
          <w:rFonts w:cs="Arial"/>
          <w:sz w:val="20"/>
        </w:rPr>
      </w:pPr>
      <w:r w:rsidRPr="00D46032">
        <w:rPr>
          <w:rFonts w:cs="Arial"/>
          <w:sz w:val="20"/>
        </w:rPr>
        <w:t xml:space="preserve">Josef </w:t>
      </w:r>
      <w:proofErr w:type="spellStart"/>
      <w:r w:rsidRPr="00D46032">
        <w:rPr>
          <w:rFonts w:cs="Arial"/>
          <w:sz w:val="20"/>
        </w:rPr>
        <w:t>Umdasch</w:t>
      </w:r>
      <w:proofErr w:type="spellEnd"/>
      <w:r w:rsidRPr="00D46032">
        <w:rPr>
          <w:rFonts w:cs="Arial"/>
          <w:sz w:val="20"/>
        </w:rPr>
        <w:t xml:space="preserve"> Platz 1, 3300 Amstetten (Austria)</w:t>
      </w:r>
    </w:p>
    <w:p w:rsidR="001A780D" w:rsidRPr="00D46032" w:rsidRDefault="00E4400F" w:rsidP="001A780D">
      <w:pPr>
        <w:rPr>
          <w:rFonts w:cs="Arial"/>
          <w:sz w:val="20"/>
        </w:rPr>
      </w:pPr>
      <w:r>
        <w:rPr>
          <w:rFonts w:cs="Arial"/>
          <w:sz w:val="20"/>
        </w:rPr>
        <w:t>Tel.: +43 7472 605-2278</w:t>
      </w:r>
    </w:p>
    <w:p w:rsidR="001A780D" w:rsidRPr="00D46032" w:rsidRDefault="001A780D" w:rsidP="001A780D">
      <w:pPr>
        <w:rPr>
          <w:rFonts w:cs="Arial"/>
          <w:sz w:val="20"/>
        </w:rPr>
      </w:pPr>
      <w:r w:rsidRPr="00D46032">
        <w:rPr>
          <w:rFonts w:cs="Arial"/>
          <w:sz w:val="20"/>
        </w:rPr>
        <w:t xml:space="preserve">E-Mail: </w:t>
      </w:r>
      <w:r w:rsidR="000226EA">
        <w:rPr>
          <w:rFonts w:cs="Arial"/>
          <w:sz w:val="20"/>
        </w:rPr>
        <w:t>juergen.reimann</w:t>
      </w:r>
      <w:r w:rsidRPr="00D46032">
        <w:rPr>
          <w:rFonts w:cs="Arial"/>
          <w:sz w:val="20"/>
        </w:rPr>
        <w:t>@doka.com</w:t>
      </w:r>
    </w:p>
    <w:p w:rsidR="001A780D" w:rsidRPr="00FC5399" w:rsidRDefault="001A780D" w:rsidP="001A780D">
      <w:pPr>
        <w:rPr>
          <w:rFonts w:cs="Arial"/>
          <w:sz w:val="20"/>
        </w:rPr>
      </w:pPr>
      <w:r w:rsidRPr="00FC5399">
        <w:rPr>
          <w:rFonts w:cs="Arial"/>
          <w:sz w:val="20"/>
        </w:rPr>
        <w:t>Web: www.doka.com</w:t>
      </w:r>
    </w:p>
    <w:p w:rsidR="001A780D" w:rsidRPr="00FC5399" w:rsidRDefault="001A780D" w:rsidP="001A780D">
      <w:pPr>
        <w:rPr>
          <w:rFonts w:cs="Arial"/>
          <w:sz w:val="20"/>
        </w:rPr>
      </w:pPr>
    </w:p>
    <w:p w:rsidR="001A780D" w:rsidRPr="00FC5399" w:rsidRDefault="001A780D" w:rsidP="001A780D">
      <w:pPr>
        <w:pStyle w:val="StandardWeb"/>
        <w:spacing w:before="0" w:beforeAutospacing="0" w:after="0" w:afterAutospacing="0"/>
        <w:rPr>
          <w:rFonts w:ascii="Arial" w:hAnsi="Arial" w:cs="Arial"/>
          <w:sz w:val="20"/>
          <w:szCs w:val="20"/>
          <w:lang w:val="de-DE"/>
        </w:rPr>
      </w:pPr>
      <w:r w:rsidRPr="00FC5399">
        <w:rPr>
          <w:rFonts w:ascii="Arial" w:hAnsi="Arial" w:cs="Arial"/>
          <w:b/>
          <w:sz w:val="20"/>
          <w:szCs w:val="20"/>
          <w:lang w:val="de-DE"/>
        </w:rPr>
        <w:t>Bildtexte:</w:t>
      </w:r>
    </w:p>
    <w:p w:rsidR="001A780D" w:rsidRPr="00FC5399" w:rsidRDefault="001A780D" w:rsidP="001A780D">
      <w:pPr>
        <w:pStyle w:val="StandardWeb"/>
        <w:spacing w:before="0" w:beforeAutospacing="0" w:after="0" w:afterAutospacing="0"/>
        <w:rPr>
          <w:rFonts w:ascii="Arial" w:hAnsi="Arial" w:cs="Arial"/>
          <w:sz w:val="20"/>
          <w:szCs w:val="20"/>
          <w:lang w:val="de-DE"/>
        </w:rPr>
      </w:pPr>
    </w:p>
    <w:p w:rsidR="00FC5399" w:rsidRPr="00E4400F" w:rsidRDefault="00FC5399" w:rsidP="00FC5399">
      <w:pPr>
        <w:pStyle w:val="StandardWeb"/>
        <w:spacing w:before="0" w:beforeAutospacing="0" w:after="0" w:afterAutospacing="0"/>
        <w:rPr>
          <w:rFonts w:ascii="Arial" w:hAnsi="Arial" w:cs="Arial"/>
          <w:b/>
          <w:sz w:val="20"/>
          <w:szCs w:val="20"/>
          <w:lang w:val="de-DE"/>
        </w:rPr>
      </w:pPr>
      <w:r w:rsidRPr="00E4400F">
        <w:rPr>
          <w:rFonts w:ascii="Arial" w:hAnsi="Arial" w:cs="Arial"/>
          <w:b/>
          <w:sz w:val="20"/>
          <w:szCs w:val="20"/>
          <w:lang w:val="de-DE"/>
        </w:rPr>
        <w:t>Doka_201</w:t>
      </w:r>
      <w:r w:rsidR="000226EA" w:rsidRPr="00E4400F">
        <w:rPr>
          <w:rFonts w:ascii="Arial" w:hAnsi="Arial" w:cs="Arial"/>
          <w:b/>
          <w:sz w:val="20"/>
          <w:szCs w:val="20"/>
          <w:lang w:val="de-DE"/>
        </w:rPr>
        <w:t>2</w:t>
      </w:r>
      <w:r w:rsidRPr="00E4400F">
        <w:rPr>
          <w:rFonts w:ascii="Arial" w:hAnsi="Arial" w:cs="Arial"/>
          <w:b/>
          <w:sz w:val="20"/>
          <w:szCs w:val="20"/>
          <w:lang w:val="de-DE"/>
        </w:rPr>
        <w:t>_</w:t>
      </w:r>
      <w:r w:rsidR="000226EA" w:rsidRPr="00E4400F">
        <w:rPr>
          <w:rFonts w:ascii="Arial" w:hAnsi="Arial" w:cs="Arial"/>
          <w:b/>
          <w:sz w:val="20"/>
          <w:szCs w:val="20"/>
          <w:lang w:val="de-DE"/>
        </w:rPr>
        <w:t>01</w:t>
      </w:r>
      <w:r w:rsidRPr="00E4400F">
        <w:rPr>
          <w:rFonts w:ascii="Arial" w:hAnsi="Arial" w:cs="Arial"/>
          <w:b/>
          <w:sz w:val="20"/>
          <w:szCs w:val="20"/>
          <w:lang w:val="de-DE"/>
        </w:rPr>
        <w:t>_</w:t>
      </w:r>
      <w:r w:rsidR="000226EA" w:rsidRPr="00E4400F">
        <w:rPr>
          <w:rFonts w:ascii="Arial" w:hAnsi="Arial" w:cs="Arial"/>
          <w:b/>
          <w:sz w:val="20"/>
          <w:szCs w:val="20"/>
          <w:lang w:val="de-DE"/>
        </w:rPr>
        <w:t>A-</w:t>
      </w:r>
      <w:r w:rsidRPr="00E4400F">
        <w:rPr>
          <w:rFonts w:ascii="Arial" w:hAnsi="Arial" w:cs="Arial"/>
          <w:b/>
          <w:sz w:val="20"/>
          <w:szCs w:val="20"/>
          <w:lang w:val="de-DE"/>
        </w:rPr>
        <w:t>Pylon_</w:t>
      </w:r>
      <w:r w:rsidR="000226EA" w:rsidRPr="00E4400F">
        <w:rPr>
          <w:rFonts w:ascii="Arial" w:hAnsi="Arial" w:cs="Arial"/>
          <w:b/>
          <w:sz w:val="20"/>
          <w:szCs w:val="20"/>
          <w:lang w:val="de-DE"/>
        </w:rPr>
        <w:t>Wladiwostok</w:t>
      </w:r>
      <w:r w:rsidRPr="00E4400F">
        <w:rPr>
          <w:rFonts w:ascii="Arial" w:hAnsi="Arial" w:cs="Arial"/>
          <w:b/>
          <w:sz w:val="20"/>
          <w:szCs w:val="20"/>
          <w:lang w:val="de-DE"/>
        </w:rPr>
        <w:t>_IMG_01</w:t>
      </w:r>
    </w:p>
    <w:p w:rsidR="001A780D" w:rsidRPr="00227037" w:rsidRDefault="00227037" w:rsidP="001A780D">
      <w:pPr>
        <w:pStyle w:val="Bildunterschrift"/>
        <w:spacing w:before="0"/>
        <w:rPr>
          <w:b w:val="0"/>
          <w:sz w:val="20"/>
        </w:rPr>
      </w:pPr>
      <w:r w:rsidRPr="00227037">
        <w:rPr>
          <w:b w:val="0"/>
          <w:color w:val="313131"/>
          <w:sz w:val="20"/>
        </w:rPr>
        <w:t xml:space="preserve">Mit Hilfe einer selbstkletternden </w:t>
      </w:r>
      <w:proofErr w:type="spellStart"/>
      <w:r w:rsidRPr="00227037">
        <w:rPr>
          <w:b w:val="0"/>
          <w:color w:val="313131"/>
          <w:sz w:val="20"/>
        </w:rPr>
        <w:t>Doka</w:t>
      </w:r>
      <w:proofErr w:type="spellEnd"/>
      <w:r w:rsidRPr="00227037">
        <w:rPr>
          <w:b w:val="0"/>
          <w:color w:val="313131"/>
          <w:sz w:val="20"/>
        </w:rPr>
        <w:t xml:space="preserve">-Schalungslösung errichtete die bauausführende </w:t>
      </w:r>
      <w:proofErr w:type="spellStart"/>
      <w:r w:rsidRPr="00227037">
        <w:rPr>
          <w:b w:val="0"/>
          <w:color w:val="313131"/>
          <w:sz w:val="20"/>
        </w:rPr>
        <w:t>Mostovik</w:t>
      </w:r>
      <w:proofErr w:type="spellEnd"/>
      <w:r w:rsidRPr="00227037">
        <w:rPr>
          <w:b w:val="0"/>
          <w:color w:val="313131"/>
          <w:sz w:val="20"/>
        </w:rPr>
        <w:t xml:space="preserve"> einen 320 m hohen A-Pylon in Wladiwostok.</w:t>
      </w:r>
    </w:p>
    <w:p w:rsidR="001A780D" w:rsidRPr="00E4400F" w:rsidRDefault="001A780D" w:rsidP="001A780D">
      <w:pPr>
        <w:pStyle w:val="Fotohinweis"/>
        <w:rPr>
          <w:sz w:val="20"/>
          <w:lang w:val="en-US"/>
        </w:rPr>
      </w:pPr>
      <w:proofErr w:type="spellStart"/>
      <w:r w:rsidRPr="00E4400F">
        <w:rPr>
          <w:sz w:val="20"/>
          <w:lang w:val="en-US"/>
        </w:rPr>
        <w:t>Foto</w:t>
      </w:r>
      <w:proofErr w:type="spellEnd"/>
      <w:r w:rsidRPr="00E4400F">
        <w:rPr>
          <w:sz w:val="20"/>
          <w:lang w:val="en-US"/>
        </w:rPr>
        <w:t xml:space="preserve">: </w:t>
      </w:r>
      <w:proofErr w:type="spellStart"/>
      <w:r w:rsidRPr="00E4400F">
        <w:rPr>
          <w:sz w:val="20"/>
          <w:lang w:val="en-US"/>
        </w:rPr>
        <w:t>Doka</w:t>
      </w:r>
      <w:proofErr w:type="spellEnd"/>
    </w:p>
    <w:p w:rsidR="001A780D" w:rsidRPr="00E4400F" w:rsidRDefault="001A780D" w:rsidP="001A780D">
      <w:pPr>
        <w:pStyle w:val="Fotohinweis"/>
        <w:rPr>
          <w:sz w:val="20"/>
          <w:lang w:val="en-US"/>
        </w:rPr>
      </w:pPr>
    </w:p>
    <w:p w:rsidR="00227037" w:rsidRPr="00227037" w:rsidRDefault="00227037" w:rsidP="00227037">
      <w:pPr>
        <w:pStyle w:val="StandardWeb"/>
        <w:spacing w:before="0" w:beforeAutospacing="0" w:after="0" w:afterAutospacing="0"/>
        <w:rPr>
          <w:rFonts w:ascii="Arial" w:hAnsi="Arial" w:cs="Arial"/>
          <w:b/>
          <w:sz w:val="20"/>
          <w:szCs w:val="20"/>
        </w:rPr>
      </w:pPr>
      <w:r w:rsidRPr="000226EA">
        <w:rPr>
          <w:rFonts w:ascii="Arial" w:hAnsi="Arial" w:cs="Arial"/>
          <w:b/>
          <w:sz w:val="20"/>
          <w:szCs w:val="20"/>
        </w:rPr>
        <w:t>Doka_2012_01_A-Pylon_</w:t>
      </w:r>
      <w:r>
        <w:rPr>
          <w:rFonts w:ascii="Arial" w:hAnsi="Arial" w:cs="Arial"/>
          <w:b/>
          <w:sz w:val="20"/>
          <w:szCs w:val="20"/>
        </w:rPr>
        <w:t>Wladiwostok</w:t>
      </w:r>
      <w:r w:rsidRPr="000226EA">
        <w:rPr>
          <w:rFonts w:ascii="Arial" w:hAnsi="Arial" w:cs="Arial"/>
          <w:b/>
          <w:sz w:val="20"/>
          <w:szCs w:val="20"/>
        </w:rPr>
        <w:t>_IMG_0</w:t>
      </w:r>
      <w:r w:rsidR="00BF3574">
        <w:rPr>
          <w:rFonts w:ascii="Arial" w:hAnsi="Arial" w:cs="Arial"/>
          <w:b/>
          <w:sz w:val="20"/>
          <w:szCs w:val="20"/>
        </w:rPr>
        <w:t>2</w:t>
      </w:r>
    </w:p>
    <w:p w:rsidR="00227037" w:rsidRPr="00227037" w:rsidRDefault="00227037" w:rsidP="00227037">
      <w:pPr>
        <w:pStyle w:val="Bildunterschrift"/>
        <w:spacing w:before="0"/>
        <w:rPr>
          <w:b w:val="0"/>
          <w:sz w:val="20"/>
        </w:rPr>
      </w:pPr>
      <w:r w:rsidRPr="00227037">
        <w:rPr>
          <w:b w:val="0"/>
          <w:color w:val="313131"/>
          <w:sz w:val="20"/>
        </w:rPr>
        <w:t>Eine selbstkletternde „Halle“ schützte die Baustellenmannschaft vor den widrigen Wetterbedingungen im eisigen Osten Russlands und ermöglichte</w:t>
      </w:r>
      <w:r w:rsidR="00081041">
        <w:rPr>
          <w:b w:val="0"/>
          <w:color w:val="313131"/>
          <w:sz w:val="20"/>
        </w:rPr>
        <w:t xml:space="preserve"> </w:t>
      </w:r>
      <w:r w:rsidRPr="00227037">
        <w:rPr>
          <w:b w:val="0"/>
          <w:color w:val="313131"/>
          <w:sz w:val="20"/>
        </w:rPr>
        <w:t>auch bei tiefen Temperaturen den Betoneinbau.</w:t>
      </w:r>
    </w:p>
    <w:p w:rsidR="00227037" w:rsidRPr="00FC5399" w:rsidRDefault="00227037" w:rsidP="00FC5399">
      <w:pPr>
        <w:pStyle w:val="Fotohinweis"/>
        <w:rPr>
          <w:sz w:val="20"/>
        </w:rPr>
      </w:pPr>
      <w:r w:rsidRPr="00FC5399">
        <w:rPr>
          <w:sz w:val="20"/>
        </w:rPr>
        <w:t xml:space="preserve">Foto: </w:t>
      </w:r>
      <w:proofErr w:type="spellStart"/>
      <w:r w:rsidRPr="00FC5399">
        <w:rPr>
          <w:sz w:val="20"/>
        </w:rPr>
        <w:t>Doka</w:t>
      </w:r>
      <w:proofErr w:type="spellEnd"/>
    </w:p>
    <w:sectPr w:rsidR="00227037" w:rsidRPr="00FC5399" w:rsidSect="00BB424C">
      <w:headerReference w:type="default" r:id="rId9"/>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529" w:rsidRDefault="004B7529" w:rsidP="00C079A4">
      <w:r>
        <w:rPr>
          <w:lang w:val="en-US"/>
        </w:rPr>
        <w:separator/>
      </w:r>
    </w:p>
  </w:endnote>
  <w:endnote w:type="continuationSeparator" w:id="0">
    <w:p w:rsidR="004B7529" w:rsidRDefault="004B7529"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529" w:rsidRDefault="004B7529" w:rsidP="00C079A4">
      <w:r>
        <w:rPr>
          <w:lang w:val="en-US"/>
        </w:rPr>
        <w:separator/>
      </w:r>
    </w:p>
  </w:footnote>
  <w:footnote w:type="continuationSeparator" w:id="0">
    <w:p w:rsidR="004B7529" w:rsidRDefault="004B7529"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529" w:rsidRDefault="004B7529"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57345"/>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631"/>
    <w:rsid w:val="000226EA"/>
    <w:rsid w:val="00073F4A"/>
    <w:rsid w:val="00081041"/>
    <w:rsid w:val="000909C0"/>
    <w:rsid w:val="000A1FBA"/>
    <w:rsid w:val="000B02B6"/>
    <w:rsid w:val="000B2CD9"/>
    <w:rsid w:val="000B5681"/>
    <w:rsid w:val="000C0C07"/>
    <w:rsid w:val="000E35DE"/>
    <w:rsid w:val="000E3AD8"/>
    <w:rsid w:val="000E6741"/>
    <w:rsid w:val="000F4B5D"/>
    <w:rsid w:val="0010390A"/>
    <w:rsid w:val="001148C8"/>
    <w:rsid w:val="00115DDD"/>
    <w:rsid w:val="0012040C"/>
    <w:rsid w:val="001215DA"/>
    <w:rsid w:val="001446CB"/>
    <w:rsid w:val="00155347"/>
    <w:rsid w:val="00157E9F"/>
    <w:rsid w:val="00164E5D"/>
    <w:rsid w:val="00166436"/>
    <w:rsid w:val="0017344A"/>
    <w:rsid w:val="00183421"/>
    <w:rsid w:val="001869AC"/>
    <w:rsid w:val="001A12B7"/>
    <w:rsid w:val="001A780D"/>
    <w:rsid w:val="001B250F"/>
    <w:rsid w:val="001B71D8"/>
    <w:rsid w:val="001C4334"/>
    <w:rsid w:val="001D19C5"/>
    <w:rsid w:val="001D6E5A"/>
    <w:rsid w:val="001F0AC0"/>
    <w:rsid w:val="001F0EF5"/>
    <w:rsid w:val="001F150A"/>
    <w:rsid w:val="001F2532"/>
    <w:rsid w:val="00212BDB"/>
    <w:rsid w:val="00224A19"/>
    <w:rsid w:val="00227037"/>
    <w:rsid w:val="002271F7"/>
    <w:rsid w:val="00227C61"/>
    <w:rsid w:val="00232975"/>
    <w:rsid w:val="00251C5C"/>
    <w:rsid w:val="00256ACE"/>
    <w:rsid w:val="002714D9"/>
    <w:rsid w:val="0027192C"/>
    <w:rsid w:val="002808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31717"/>
    <w:rsid w:val="00361DD2"/>
    <w:rsid w:val="0036305E"/>
    <w:rsid w:val="0037209A"/>
    <w:rsid w:val="00380D4B"/>
    <w:rsid w:val="00382081"/>
    <w:rsid w:val="00396950"/>
    <w:rsid w:val="003A1DDA"/>
    <w:rsid w:val="003B20D5"/>
    <w:rsid w:val="003B2582"/>
    <w:rsid w:val="003B589D"/>
    <w:rsid w:val="003C5B02"/>
    <w:rsid w:val="003D6027"/>
    <w:rsid w:val="003E1082"/>
    <w:rsid w:val="003E3AFE"/>
    <w:rsid w:val="003F1DA4"/>
    <w:rsid w:val="003F25FD"/>
    <w:rsid w:val="00401E26"/>
    <w:rsid w:val="00405015"/>
    <w:rsid w:val="00412A24"/>
    <w:rsid w:val="00417B93"/>
    <w:rsid w:val="004257B3"/>
    <w:rsid w:val="00431881"/>
    <w:rsid w:val="0043339A"/>
    <w:rsid w:val="00445F40"/>
    <w:rsid w:val="004517D8"/>
    <w:rsid w:val="0048669E"/>
    <w:rsid w:val="00492C0E"/>
    <w:rsid w:val="004A1760"/>
    <w:rsid w:val="004B0380"/>
    <w:rsid w:val="004B4AC1"/>
    <w:rsid w:val="004B7529"/>
    <w:rsid w:val="004C0F99"/>
    <w:rsid w:val="004D2F67"/>
    <w:rsid w:val="004E2A47"/>
    <w:rsid w:val="004E415B"/>
    <w:rsid w:val="004F06B4"/>
    <w:rsid w:val="004F2F17"/>
    <w:rsid w:val="004F500D"/>
    <w:rsid w:val="004F7CAA"/>
    <w:rsid w:val="005139DC"/>
    <w:rsid w:val="0052157F"/>
    <w:rsid w:val="00530133"/>
    <w:rsid w:val="00550E1E"/>
    <w:rsid w:val="00551551"/>
    <w:rsid w:val="005B534E"/>
    <w:rsid w:val="005C1135"/>
    <w:rsid w:val="005D399E"/>
    <w:rsid w:val="0061775B"/>
    <w:rsid w:val="00635102"/>
    <w:rsid w:val="00640FAC"/>
    <w:rsid w:val="00651305"/>
    <w:rsid w:val="00652A58"/>
    <w:rsid w:val="006574F1"/>
    <w:rsid w:val="006577DD"/>
    <w:rsid w:val="00667445"/>
    <w:rsid w:val="00671B6C"/>
    <w:rsid w:val="00691BE0"/>
    <w:rsid w:val="006B50D1"/>
    <w:rsid w:val="006B78C7"/>
    <w:rsid w:val="007453BC"/>
    <w:rsid w:val="007477FF"/>
    <w:rsid w:val="00750711"/>
    <w:rsid w:val="00751724"/>
    <w:rsid w:val="007645A6"/>
    <w:rsid w:val="0076726D"/>
    <w:rsid w:val="00770747"/>
    <w:rsid w:val="00776483"/>
    <w:rsid w:val="00776A42"/>
    <w:rsid w:val="00783015"/>
    <w:rsid w:val="00783800"/>
    <w:rsid w:val="007A6D49"/>
    <w:rsid w:val="007B251C"/>
    <w:rsid w:val="007C1542"/>
    <w:rsid w:val="007C6E7A"/>
    <w:rsid w:val="007D3B6C"/>
    <w:rsid w:val="007E1932"/>
    <w:rsid w:val="00811CBF"/>
    <w:rsid w:val="008154B6"/>
    <w:rsid w:val="008330AF"/>
    <w:rsid w:val="00843C6A"/>
    <w:rsid w:val="008505AD"/>
    <w:rsid w:val="00852EE6"/>
    <w:rsid w:val="00871D8F"/>
    <w:rsid w:val="00876A9D"/>
    <w:rsid w:val="00877D6C"/>
    <w:rsid w:val="00895893"/>
    <w:rsid w:val="008E025D"/>
    <w:rsid w:val="00926441"/>
    <w:rsid w:val="00937831"/>
    <w:rsid w:val="00940A02"/>
    <w:rsid w:val="0094743E"/>
    <w:rsid w:val="00954CC2"/>
    <w:rsid w:val="00954EF4"/>
    <w:rsid w:val="009572CE"/>
    <w:rsid w:val="00961CD7"/>
    <w:rsid w:val="00962F70"/>
    <w:rsid w:val="00963AEB"/>
    <w:rsid w:val="00965009"/>
    <w:rsid w:val="00982D2F"/>
    <w:rsid w:val="009935BA"/>
    <w:rsid w:val="00995247"/>
    <w:rsid w:val="00996FFB"/>
    <w:rsid w:val="009B1339"/>
    <w:rsid w:val="00A27CDF"/>
    <w:rsid w:val="00A33A39"/>
    <w:rsid w:val="00A36A76"/>
    <w:rsid w:val="00A53C08"/>
    <w:rsid w:val="00A55832"/>
    <w:rsid w:val="00A63FE6"/>
    <w:rsid w:val="00AA096C"/>
    <w:rsid w:val="00AB7233"/>
    <w:rsid w:val="00AC4B2D"/>
    <w:rsid w:val="00AE315C"/>
    <w:rsid w:val="00AE6C3B"/>
    <w:rsid w:val="00AF187F"/>
    <w:rsid w:val="00AF27E1"/>
    <w:rsid w:val="00B00763"/>
    <w:rsid w:val="00B0401C"/>
    <w:rsid w:val="00B142A0"/>
    <w:rsid w:val="00B32250"/>
    <w:rsid w:val="00B40C55"/>
    <w:rsid w:val="00B47B60"/>
    <w:rsid w:val="00B502B9"/>
    <w:rsid w:val="00B61836"/>
    <w:rsid w:val="00B7690C"/>
    <w:rsid w:val="00B92E89"/>
    <w:rsid w:val="00BA0102"/>
    <w:rsid w:val="00BA17CC"/>
    <w:rsid w:val="00BB1AC2"/>
    <w:rsid w:val="00BB424C"/>
    <w:rsid w:val="00BC146F"/>
    <w:rsid w:val="00BD151A"/>
    <w:rsid w:val="00BD15B2"/>
    <w:rsid w:val="00BE3FE8"/>
    <w:rsid w:val="00BF1B65"/>
    <w:rsid w:val="00BF3574"/>
    <w:rsid w:val="00BF5DFE"/>
    <w:rsid w:val="00C079A4"/>
    <w:rsid w:val="00C10DDE"/>
    <w:rsid w:val="00C167F8"/>
    <w:rsid w:val="00C31551"/>
    <w:rsid w:val="00C425F3"/>
    <w:rsid w:val="00C434EB"/>
    <w:rsid w:val="00C45212"/>
    <w:rsid w:val="00C64667"/>
    <w:rsid w:val="00C7709B"/>
    <w:rsid w:val="00C97F72"/>
    <w:rsid w:val="00CB506E"/>
    <w:rsid w:val="00CB7067"/>
    <w:rsid w:val="00CB7272"/>
    <w:rsid w:val="00CD2AB6"/>
    <w:rsid w:val="00CD3250"/>
    <w:rsid w:val="00CE0FB7"/>
    <w:rsid w:val="00CE602A"/>
    <w:rsid w:val="00CE6AF8"/>
    <w:rsid w:val="00CE7954"/>
    <w:rsid w:val="00CF5E2C"/>
    <w:rsid w:val="00D23C50"/>
    <w:rsid w:val="00D2662E"/>
    <w:rsid w:val="00D365B3"/>
    <w:rsid w:val="00D44A55"/>
    <w:rsid w:val="00D46032"/>
    <w:rsid w:val="00D5493F"/>
    <w:rsid w:val="00D61CFC"/>
    <w:rsid w:val="00D66655"/>
    <w:rsid w:val="00D74D79"/>
    <w:rsid w:val="00D84FB0"/>
    <w:rsid w:val="00DA3890"/>
    <w:rsid w:val="00DA5D9A"/>
    <w:rsid w:val="00DB06DC"/>
    <w:rsid w:val="00DE28E5"/>
    <w:rsid w:val="00DF03CD"/>
    <w:rsid w:val="00E004D4"/>
    <w:rsid w:val="00E01C61"/>
    <w:rsid w:val="00E0306D"/>
    <w:rsid w:val="00E15FE5"/>
    <w:rsid w:val="00E27BED"/>
    <w:rsid w:val="00E4400F"/>
    <w:rsid w:val="00E4713E"/>
    <w:rsid w:val="00E60719"/>
    <w:rsid w:val="00E64721"/>
    <w:rsid w:val="00EB5ECB"/>
    <w:rsid w:val="00EE3AC0"/>
    <w:rsid w:val="00EF488A"/>
    <w:rsid w:val="00EF59EA"/>
    <w:rsid w:val="00F06B10"/>
    <w:rsid w:val="00F258B9"/>
    <w:rsid w:val="00F326B6"/>
    <w:rsid w:val="00F46C92"/>
    <w:rsid w:val="00F525D4"/>
    <w:rsid w:val="00F52AEA"/>
    <w:rsid w:val="00F664EA"/>
    <w:rsid w:val="00F81A04"/>
    <w:rsid w:val="00F87A68"/>
    <w:rsid w:val="00FA3C2A"/>
    <w:rsid w:val="00FB32CA"/>
    <w:rsid w:val="00FC5399"/>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Freihandelsabkommen" TargetMode="External"/><Relationship Id="rId3" Type="http://schemas.openxmlformats.org/officeDocument/2006/relationships/settings" Target="settings.xml"/><Relationship Id="rId7" Type="http://schemas.openxmlformats.org/officeDocument/2006/relationships/hyperlink" Target="http://de.wikipedia.org/wiki/Internationale_Organisation_(V%C3%B6lkerrech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C05EA-6A9E-49C6-BC4C-28CA5443B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714</Words>
  <Characters>4994</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5697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7</cp:revision>
  <cp:lastPrinted>2012-01-11T13:42:00Z</cp:lastPrinted>
  <dcterms:created xsi:type="dcterms:W3CDTF">2012-01-11T13:26:00Z</dcterms:created>
  <dcterms:modified xsi:type="dcterms:W3CDTF">2012-01-11T14:42:00Z</dcterms:modified>
</cp:coreProperties>
</file>