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0A6" w:rsidRDefault="008800A6" w:rsidP="00557D6B">
      <w:pPr>
        <w:pStyle w:val="berschrift5"/>
        <w:jc w:val="left"/>
        <w:rPr>
          <w:sz w:val="32"/>
          <w:szCs w:val="32"/>
        </w:rPr>
      </w:pPr>
    </w:p>
    <w:p w:rsidR="008800A6" w:rsidRPr="00343D30" w:rsidRDefault="00150A17" w:rsidP="00343D30">
      <w:pPr>
        <w:pStyle w:val="berschrift5"/>
        <w:jc w:val="left"/>
        <w:rPr>
          <w:sz w:val="32"/>
          <w:szCs w:val="32"/>
        </w:rPr>
      </w:pPr>
      <w:proofErr w:type="spellStart"/>
      <w:r w:rsidRPr="003164E2">
        <w:rPr>
          <w:sz w:val="32"/>
          <w:szCs w:val="32"/>
        </w:rPr>
        <w:t>Umdasch</w:t>
      </w:r>
      <w:proofErr w:type="spellEnd"/>
      <w:r w:rsidRPr="003164E2">
        <w:rPr>
          <w:sz w:val="32"/>
          <w:szCs w:val="32"/>
        </w:rPr>
        <w:t xml:space="preserve"> </w:t>
      </w:r>
      <w:r w:rsidR="003164E2" w:rsidRPr="003164E2">
        <w:rPr>
          <w:sz w:val="32"/>
          <w:szCs w:val="32"/>
        </w:rPr>
        <w:t>Group</w:t>
      </w:r>
      <w:r w:rsidR="00557D6B">
        <w:rPr>
          <w:sz w:val="32"/>
          <w:szCs w:val="32"/>
        </w:rPr>
        <w:t xml:space="preserve"> </w:t>
      </w:r>
      <w:r w:rsidR="008800A6">
        <w:rPr>
          <w:sz w:val="32"/>
          <w:szCs w:val="32"/>
        </w:rPr>
        <w:t>weiterhin auf Wachstumskurs.</w:t>
      </w:r>
    </w:p>
    <w:p w:rsidR="00F9606A" w:rsidRPr="00FE01D8" w:rsidRDefault="00F9606A"/>
    <w:p w:rsidR="00FA2E22" w:rsidRDefault="00557D6B" w:rsidP="00452EB5">
      <w:pPr>
        <w:rPr>
          <w:b/>
        </w:rPr>
      </w:pPr>
      <w:r>
        <w:rPr>
          <w:b/>
        </w:rPr>
        <w:t xml:space="preserve">Das weltweit erfolgreiche Familienunternehmen aus Amstetten erzielte zum dritten Mal in Folge einen Umsatzanstieg. Mit </w:t>
      </w:r>
      <w:r w:rsidR="003A6679">
        <w:rPr>
          <w:b/>
        </w:rPr>
        <w:t>1,092 Milliarden Euro</w:t>
      </w:r>
      <w:r>
        <w:rPr>
          <w:b/>
        </w:rPr>
        <w:t xml:space="preserve"> </w:t>
      </w:r>
      <w:r w:rsidR="009147D5">
        <w:rPr>
          <w:b/>
        </w:rPr>
        <w:t xml:space="preserve">hat sich der Umsatz um </w:t>
      </w:r>
      <w:r w:rsidR="00996855">
        <w:rPr>
          <w:b/>
        </w:rPr>
        <w:t>drei</w:t>
      </w:r>
      <w:r w:rsidR="009147D5">
        <w:rPr>
          <w:b/>
        </w:rPr>
        <w:t xml:space="preserve"> Prozent </w:t>
      </w:r>
      <w:r w:rsidR="00E374B1">
        <w:rPr>
          <w:b/>
        </w:rPr>
        <w:t xml:space="preserve">im Vergleich zum Vorjahr </w:t>
      </w:r>
      <w:r w:rsidR="009147D5">
        <w:rPr>
          <w:b/>
        </w:rPr>
        <w:t>verbessert</w:t>
      </w:r>
      <w:r>
        <w:rPr>
          <w:b/>
        </w:rPr>
        <w:t xml:space="preserve">. </w:t>
      </w:r>
      <w:r w:rsidR="00E374B1">
        <w:rPr>
          <w:b/>
        </w:rPr>
        <w:t xml:space="preserve">Ein Indiz dafür, dass die Wachstumsstrategie Früchte trägt, auch wenn der Konzern </w:t>
      </w:r>
      <w:r w:rsidR="007B2295">
        <w:rPr>
          <w:b/>
        </w:rPr>
        <w:t xml:space="preserve">2013 </w:t>
      </w:r>
      <w:r w:rsidR="00E374B1">
        <w:rPr>
          <w:b/>
        </w:rPr>
        <w:t xml:space="preserve">mit einigen Herausforderungen </w:t>
      </w:r>
      <w:r w:rsidR="007B2295">
        <w:rPr>
          <w:b/>
        </w:rPr>
        <w:t>konfrontiert war.</w:t>
      </w:r>
    </w:p>
    <w:p w:rsidR="00FA2E22" w:rsidRPr="00FE01D8" w:rsidRDefault="00FA2E22" w:rsidP="00452EB5">
      <w:pPr>
        <w:rPr>
          <w:b/>
        </w:rPr>
      </w:pPr>
    </w:p>
    <w:p w:rsidR="0066287B" w:rsidRPr="009539D6" w:rsidRDefault="009539D6" w:rsidP="00452EB5">
      <w:r>
        <w:t xml:space="preserve">Mit dem zweitbesten Umsatz in der </w:t>
      </w:r>
      <w:r w:rsidR="007B2295">
        <w:t>fast 150</w:t>
      </w:r>
      <w:r>
        <w:t xml:space="preserve">-jährigen Unternehmenshistorie hat die </w:t>
      </w:r>
      <w:proofErr w:type="spellStart"/>
      <w:r>
        <w:t>Umdasch</w:t>
      </w:r>
      <w:proofErr w:type="spellEnd"/>
      <w:r>
        <w:t xml:space="preserve"> Group ihre erfolgreiche Geschäftsentwicklung in einem weltweit herausfordernden wirtschaftlichen Umfeld </w:t>
      </w:r>
      <w:r w:rsidR="007B2295">
        <w:t>fortgesetzt.</w:t>
      </w:r>
    </w:p>
    <w:p w:rsidR="00FA2E22" w:rsidRDefault="00FA2E22" w:rsidP="00452EB5">
      <w:pPr>
        <w:rPr>
          <w:b/>
        </w:rPr>
      </w:pPr>
    </w:p>
    <w:p w:rsidR="005D3393" w:rsidRDefault="009539D6" w:rsidP="00452EB5">
      <w:r>
        <w:t>Der Konzernumsatz stieg trotz</w:t>
      </w:r>
      <w:r w:rsidR="009147D5">
        <w:t xml:space="preserve"> anhaltend volatiler Märkte mit 1,092 Milliarden Euro um drei Prozent</w:t>
      </w:r>
      <w:r>
        <w:t xml:space="preserve"> gegenüber 2012. </w:t>
      </w:r>
      <w:r w:rsidR="006E68A1">
        <w:t>Der Betriebserfolg</w:t>
      </w:r>
      <w:r>
        <w:t xml:space="preserve"> </w:t>
      </w:r>
      <w:r w:rsidR="00E374B1">
        <w:t xml:space="preserve">weist mit </w:t>
      </w:r>
      <w:r w:rsidR="009147D5">
        <w:t xml:space="preserve">74 Millionen Euro </w:t>
      </w:r>
      <w:r w:rsidR="00E374B1">
        <w:t>eine Million Plus zum Vorjahr auf</w:t>
      </w:r>
      <w:r w:rsidR="00A55F23">
        <w:t>.</w:t>
      </w:r>
      <w:r>
        <w:t xml:space="preserve"> </w:t>
      </w:r>
      <w:r w:rsidR="006E68A1">
        <w:t>Zusätzliche wichtige Kennzahlen für d</w:t>
      </w:r>
      <w:r w:rsidR="00E374B1">
        <w:t xml:space="preserve">ie Entwicklung des Unternehmens </w:t>
      </w:r>
      <w:r w:rsidR="006E68A1">
        <w:t>sind e</w:t>
      </w:r>
      <w:r w:rsidR="00E374B1">
        <w:t>twa de</w:t>
      </w:r>
      <w:r w:rsidR="006E68A1">
        <w:t>r</w:t>
      </w:r>
      <w:r w:rsidR="00E374B1">
        <w:t xml:space="preserve"> Cashflow aus laufender Geschäftstätigkeit, der innerhalb eines Jahres um 102 </w:t>
      </w:r>
      <w:proofErr w:type="spellStart"/>
      <w:r w:rsidR="00E374B1">
        <w:t>Mio</w:t>
      </w:r>
      <w:proofErr w:type="spellEnd"/>
      <w:r w:rsidR="00E374B1">
        <w:t xml:space="preserve"> € gesteigert werden konnte. Einen wesentlichen Anteil daran hatte das Working Capital, das um </w:t>
      </w:r>
      <w:r w:rsidR="005D3393">
        <w:t>33</w:t>
      </w:r>
      <w:r w:rsidR="00E374B1">
        <w:t xml:space="preserve"> Mio. € </w:t>
      </w:r>
      <w:r w:rsidR="00580607">
        <w:t>gesenkt</w:t>
      </w:r>
      <w:r w:rsidR="00E374B1">
        <w:t xml:space="preserve"> </w:t>
      </w:r>
      <w:r w:rsidR="00580607">
        <w:t>wurde – und das bei steigenden Umsätzen.</w:t>
      </w:r>
    </w:p>
    <w:p w:rsidR="00A55F23" w:rsidRDefault="00A55F23" w:rsidP="009539D6">
      <w:pPr>
        <w:jc w:val="left"/>
      </w:pPr>
    </w:p>
    <w:p w:rsidR="008E6470" w:rsidRDefault="00A943DC" w:rsidP="009539D6">
      <w:pPr>
        <w:jc w:val="left"/>
        <w:rPr>
          <w:b/>
        </w:rPr>
      </w:pPr>
      <w:r>
        <w:rPr>
          <w:b/>
        </w:rPr>
        <w:t xml:space="preserve">Beton-Schalungssystem - </w:t>
      </w:r>
      <w:proofErr w:type="spellStart"/>
      <w:r w:rsidR="006A5C1D">
        <w:rPr>
          <w:b/>
        </w:rPr>
        <w:t>Doka</w:t>
      </w:r>
      <w:proofErr w:type="spellEnd"/>
      <w:r w:rsidR="006A5C1D">
        <w:rPr>
          <w:b/>
        </w:rPr>
        <w:t xml:space="preserve"> Group setzt</w:t>
      </w:r>
      <w:r w:rsidR="00521798" w:rsidRPr="00521798">
        <w:rPr>
          <w:b/>
        </w:rPr>
        <w:t xml:space="preserve"> </w:t>
      </w:r>
      <w:r w:rsidR="006A5C1D">
        <w:rPr>
          <w:b/>
        </w:rPr>
        <w:t>W</w:t>
      </w:r>
      <w:r w:rsidR="00521798" w:rsidRPr="00521798">
        <w:rPr>
          <w:b/>
        </w:rPr>
        <w:t>achstum</w:t>
      </w:r>
      <w:r w:rsidR="006A5C1D">
        <w:rPr>
          <w:b/>
        </w:rPr>
        <w:t>skurs</w:t>
      </w:r>
      <w:r>
        <w:rPr>
          <w:b/>
        </w:rPr>
        <w:t xml:space="preserve"> fort</w:t>
      </w:r>
    </w:p>
    <w:p w:rsidR="005D3393" w:rsidRDefault="00AF0941" w:rsidP="00452EB5">
      <w:pPr>
        <w:rPr>
          <w:szCs w:val="22"/>
          <w:lang w:val="de-AT"/>
        </w:rPr>
      </w:pPr>
      <w:r>
        <w:t xml:space="preserve">Seit der Wirtschaftskrise und dem daraus folgenden allgemeinen Konjunkturtal hat sich die </w:t>
      </w:r>
      <w:proofErr w:type="spellStart"/>
      <w:r>
        <w:t>Doka</w:t>
      </w:r>
      <w:proofErr w:type="spellEnd"/>
      <w:r>
        <w:t xml:space="preserve"> Group </w:t>
      </w:r>
      <w:r w:rsidR="005D3393">
        <w:t>gut</w:t>
      </w:r>
      <w:r>
        <w:t xml:space="preserve"> stabilisiert und kan</w:t>
      </w:r>
      <w:r w:rsidR="00FA2E22">
        <w:t xml:space="preserve">n </w:t>
      </w:r>
      <w:r w:rsidR="005D3393">
        <w:t>auf</w:t>
      </w:r>
      <w:r w:rsidR="00FA2E22">
        <w:t xml:space="preserve"> Vorkrisenniveau auf</w:t>
      </w:r>
      <w:r>
        <w:t xml:space="preserve">schließen. </w:t>
      </w:r>
      <w:r w:rsidR="009147D5">
        <w:rPr>
          <w:szCs w:val="22"/>
          <w:lang w:val="de-AT"/>
        </w:rPr>
        <w:t xml:space="preserve">Während sich Ost- und Südeuropa nach wie vor in einem Spannungsfeld zwischen anhaltender Wirtschaftsflaute und immer wieder aufflammenden Ansätzen einer Trendwende bewegt, </w:t>
      </w:r>
      <w:r w:rsidR="005D3393">
        <w:rPr>
          <w:szCs w:val="22"/>
          <w:lang w:val="de-AT"/>
        </w:rPr>
        <w:t xml:space="preserve">konnten die Regionen Zentral- und Westeuropa ihre Marktanteile erfolgreich steigern. </w:t>
      </w:r>
    </w:p>
    <w:p w:rsidR="005D3393" w:rsidRDefault="005D3393" w:rsidP="00452EB5">
      <w:pPr>
        <w:rPr>
          <w:szCs w:val="22"/>
          <w:lang w:val="de-AT"/>
        </w:rPr>
      </w:pPr>
    </w:p>
    <w:p w:rsidR="005D3393" w:rsidRDefault="005D3393" w:rsidP="00452EB5">
      <w:pPr>
        <w:rPr>
          <w:szCs w:val="22"/>
          <w:lang w:val="de-AT"/>
        </w:rPr>
      </w:pPr>
      <w:r>
        <w:rPr>
          <w:szCs w:val="22"/>
          <w:lang w:val="de-AT"/>
        </w:rPr>
        <w:t xml:space="preserve">Erneut bildeten aber auch </w:t>
      </w:r>
      <w:r w:rsidR="007B2295">
        <w:rPr>
          <w:szCs w:val="22"/>
          <w:lang w:val="de-AT"/>
        </w:rPr>
        <w:t>im Vorjahr</w:t>
      </w:r>
      <w:r>
        <w:rPr>
          <w:szCs w:val="22"/>
          <w:lang w:val="de-AT"/>
        </w:rPr>
        <w:t xml:space="preserve"> wieder die </w:t>
      </w:r>
      <w:proofErr w:type="spellStart"/>
      <w:r>
        <w:rPr>
          <w:szCs w:val="22"/>
          <w:lang w:val="de-AT"/>
        </w:rPr>
        <w:t>Overseas</w:t>
      </w:r>
      <w:proofErr w:type="spellEnd"/>
      <w:r>
        <w:rPr>
          <w:szCs w:val="22"/>
          <w:lang w:val="de-AT"/>
        </w:rPr>
        <w:t>-</w:t>
      </w:r>
      <w:r w:rsidR="009147D5">
        <w:rPr>
          <w:szCs w:val="22"/>
          <w:lang w:val="de-AT"/>
        </w:rPr>
        <w:t xml:space="preserve">Märkte die verlässliche </w:t>
      </w:r>
      <w:r w:rsidR="00F56060">
        <w:rPr>
          <w:szCs w:val="22"/>
          <w:lang w:val="de-AT"/>
        </w:rPr>
        <w:t>Wachstumskonstante</w:t>
      </w:r>
      <w:r>
        <w:rPr>
          <w:szCs w:val="22"/>
          <w:lang w:val="de-AT"/>
        </w:rPr>
        <w:t xml:space="preserve">. Herausragend dabei der Mittlere Osten, East </w:t>
      </w:r>
      <w:proofErr w:type="spellStart"/>
      <w:r>
        <w:rPr>
          <w:szCs w:val="22"/>
          <w:lang w:val="de-AT"/>
        </w:rPr>
        <w:t>Asia</w:t>
      </w:r>
      <w:proofErr w:type="spellEnd"/>
      <w:r>
        <w:rPr>
          <w:szCs w:val="22"/>
          <w:lang w:val="de-AT"/>
        </w:rPr>
        <w:t xml:space="preserve"> &amp; Pacific sowie Nordamerika</w:t>
      </w:r>
      <w:r w:rsidR="00AA4569">
        <w:rPr>
          <w:szCs w:val="22"/>
          <w:lang w:val="de-AT"/>
        </w:rPr>
        <w:t xml:space="preserve">. </w:t>
      </w:r>
    </w:p>
    <w:p w:rsidR="0088752E" w:rsidRDefault="0088752E" w:rsidP="00452EB5">
      <w:pPr>
        <w:rPr>
          <w:szCs w:val="22"/>
          <w:lang w:val="de-AT"/>
        </w:rPr>
      </w:pPr>
    </w:p>
    <w:p w:rsidR="0088752E" w:rsidRDefault="0088752E" w:rsidP="00452EB5">
      <w:pPr>
        <w:pStyle w:val="Fuzeile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Internationale Vorzeigeprojekte waren im Jahr 2013 </w:t>
      </w:r>
      <w:r w:rsidR="007B2295">
        <w:rPr>
          <w:rFonts w:cs="Arial"/>
          <w:szCs w:val="22"/>
        </w:rPr>
        <w:t>etwa</w:t>
      </w:r>
      <w:r>
        <w:rPr>
          <w:rFonts w:cs="Arial"/>
          <w:szCs w:val="22"/>
        </w:rPr>
        <w:t xml:space="preserve"> der Staudamm </w:t>
      </w:r>
      <w:proofErr w:type="spellStart"/>
      <w:r>
        <w:rPr>
          <w:rFonts w:cs="Arial"/>
          <w:szCs w:val="22"/>
        </w:rPr>
        <w:t>Sarvsfossen</w:t>
      </w:r>
      <w:proofErr w:type="spellEnd"/>
      <w:r>
        <w:rPr>
          <w:rFonts w:cs="Arial"/>
          <w:szCs w:val="22"/>
        </w:rPr>
        <w:t xml:space="preserve"> in Norwegen, die größte Seeschleuse der Welt in Antwerpen, die </w:t>
      </w:r>
      <w:proofErr w:type="spellStart"/>
      <w:r>
        <w:rPr>
          <w:rFonts w:cs="Arial"/>
          <w:szCs w:val="22"/>
        </w:rPr>
        <w:t>Studenc</w:t>
      </w:r>
      <w:r w:rsidRPr="00334955">
        <w:rPr>
          <w:rFonts w:cs="Arial"/>
          <w:szCs w:val="22"/>
        </w:rPr>
        <w:t>ica</w:t>
      </w:r>
      <w:proofErr w:type="spellEnd"/>
      <w:r w:rsidRPr="00334955">
        <w:rPr>
          <w:rFonts w:cs="Arial"/>
          <w:szCs w:val="22"/>
        </w:rPr>
        <w:t xml:space="preserve"> Brücke mit 555 m Spannweite</w:t>
      </w:r>
      <w:r>
        <w:rPr>
          <w:rFonts w:cs="Arial"/>
          <w:szCs w:val="22"/>
        </w:rPr>
        <w:t>, der</w:t>
      </w:r>
      <w:r w:rsidR="00CC489E">
        <w:rPr>
          <w:rFonts w:cs="Arial"/>
          <w:szCs w:val="22"/>
        </w:rPr>
        <w:t xml:space="preserve"> über 200 m hohe</w:t>
      </w:r>
      <w:r>
        <w:rPr>
          <w:rFonts w:cs="Arial"/>
          <w:szCs w:val="22"/>
        </w:rPr>
        <w:t xml:space="preserve"> Torre </w:t>
      </w:r>
      <w:proofErr w:type="spellStart"/>
      <w:r>
        <w:rPr>
          <w:rFonts w:cs="Arial"/>
          <w:szCs w:val="22"/>
        </w:rPr>
        <w:t>Isozaki</w:t>
      </w:r>
      <w:proofErr w:type="spellEnd"/>
      <w:r w:rsidR="00CC489E">
        <w:rPr>
          <w:rFonts w:cs="Arial"/>
          <w:szCs w:val="22"/>
        </w:rPr>
        <w:t xml:space="preserve"> in Mailand</w:t>
      </w:r>
      <w:r>
        <w:rPr>
          <w:rFonts w:cs="Arial"/>
          <w:szCs w:val="22"/>
        </w:rPr>
        <w:t xml:space="preserve"> sowie das höchste Wohngebäude Amerikas in der 432 Park Avenue in New York. </w:t>
      </w:r>
    </w:p>
    <w:p w:rsidR="0088752E" w:rsidRPr="0088752E" w:rsidRDefault="0088752E" w:rsidP="00452EB5">
      <w:pPr>
        <w:rPr>
          <w:szCs w:val="22"/>
        </w:rPr>
      </w:pPr>
    </w:p>
    <w:p w:rsidR="0005377D" w:rsidRPr="0088752E" w:rsidRDefault="00A943DC" w:rsidP="003C5181">
      <w:pPr>
        <w:pStyle w:val="Fuzeile"/>
        <w:spacing w:line="240" w:lineRule="auto"/>
        <w:rPr>
          <w:rFonts w:ascii="Arial" w:hAnsi="Arial"/>
          <w:b/>
          <w:szCs w:val="22"/>
          <w:lang w:val="de-AT"/>
        </w:rPr>
      </w:pPr>
      <w:proofErr w:type="spellStart"/>
      <w:r>
        <w:rPr>
          <w:rFonts w:ascii="Arial" w:hAnsi="Arial"/>
          <w:b/>
          <w:szCs w:val="22"/>
          <w:lang w:val="de-AT"/>
        </w:rPr>
        <w:t>Ladenbau</w:t>
      </w:r>
      <w:proofErr w:type="spellEnd"/>
      <w:r>
        <w:rPr>
          <w:rFonts w:ascii="Arial" w:hAnsi="Arial"/>
          <w:b/>
          <w:szCs w:val="22"/>
          <w:lang w:val="de-AT"/>
        </w:rPr>
        <w:t xml:space="preserve"> – weiterhin s</w:t>
      </w:r>
      <w:r w:rsidR="0088752E" w:rsidRPr="0088752E">
        <w:rPr>
          <w:rFonts w:ascii="Arial" w:hAnsi="Arial"/>
          <w:b/>
          <w:szCs w:val="22"/>
          <w:lang w:val="de-AT"/>
        </w:rPr>
        <w:t xml:space="preserve">chwieriges </w:t>
      </w:r>
      <w:r>
        <w:rPr>
          <w:rFonts w:ascii="Arial" w:hAnsi="Arial"/>
          <w:b/>
          <w:szCs w:val="22"/>
          <w:lang w:val="de-AT"/>
        </w:rPr>
        <w:t>Umfeld</w:t>
      </w:r>
      <w:r w:rsidR="0088752E" w:rsidRPr="0088752E">
        <w:rPr>
          <w:rFonts w:ascii="Arial" w:hAnsi="Arial"/>
          <w:b/>
          <w:szCs w:val="22"/>
          <w:lang w:val="de-AT"/>
        </w:rPr>
        <w:t xml:space="preserve"> für die </w:t>
      </w:r>
      <w:proofErr w:type="spellStart"/>
      <w:r w:rsidR="0088752E" w:rsidRPr="0088752E">
        <w:rPr>
          <w:rFonts w:ascii="Arial" w:hAnsi="Arial"/>
          <w:b/>
          <w:szCs w:val="22"/>
          <w:lang w:val="de-AT"/>
        </w:rPr>
        <w:t>Umdasch</w:t>
      </w:r>
      <w:proofErr w:type="spellEnd"/>
      <w:r w:rsidR="0088752E" w:rsidRPr="0088752E">
        <w:rPr>
          <w:rFonts w:ascii="Arial" w:hAnsi="Arial"/>
          <w:b/>
          <w:szCs w:val="22"/>
          <w:lang w:val="de-AT"/>
        </w:rPr>
        <w:t xml:space="preserve"> </w:t>
      </w:r>
      <w:proofErr w:type="spellStart"/>
      <w:r w:rsidR="0088752E" w:rsidRPr="0088752E">
        <w:rPr>
          <w:rFonts w:ascii="Arial" w:hAnsi="Arial"/>
          <w:b/>
          <w:szCs w:val="22"/>
          <w:lang w:val="de-AT"/>
        </w:rPr>
        <w:t>Shopfitting</w:t>
      </w:r>
      <w:proofErr w:type="spellEnd"/>
      <w:r w:rsidR="0088752E" w:rsidRPr="0088752E">
        <w:rPr>
          <w:rFonts w:ascii="Arial" w:hAnsi="Arial"/>
          <w:b/>
          <w:szCs w:val="22"/>
          <w:lang w:val="de-AT"/>
        </w:rPr>
        <w:t xml:space="preserve"> Group</w:t>
      </w:r>
    </w:p>
    <w:p w:rsidR="004F2E44" w:rsidRDefault="0088752E" w:rsidP="00452EB5">
      <w:pPr>
        <w:pStyle w:val="Fuzeile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Im Gegensatz zur </w:t>
      </w:r>
      <w:proofErr w:type="spellStart"/>
      <w:r>
        <w:rPr>
          <w:rFonts w:cs="Arial"/>
          <w:szCs w:val="22"/>
        </w:rPr>
        <w:t>Doka</w:t>
      </w:r>
      <w:proofErr w:type="spellEnd"/>
      <w:r>
        <w:rPr>
          <w:rFonts w:cs="Arial"/>
          <w:szCs w:val="22"/>
        </w:rPr>
        <w:t xml:space="preserve"> Group bleibt das Ladenbaugeschäft und somit das Business der </w:t>
      </w:r>
      <w:r w:rsidR="00A943DC">
        <w:rPr>
          <w:rFonts w:cs="Arial"/>
          <w:szCs w:val="22"/>
        </w:rPr>
        <w:t xml:space="preserve">kleineren </w:t>
      </w:r>
      <w:r>
        <w:rPr>
          <w:rFonts w:cs="Arial"/>
          <w:szCs w:val="22"/>
        </w:rPr>
        <w:t xml:space="preserve">Konzern-Tochter </w:t>
      </w:r>
      <w:proofErr w:type="spellStart"/>
      <w:r>
        <w:rPr>
          <w:rFonts w:cs="Arial"/>
          <w:szCs w:val="22"/>
        </w:rPr>
        <w:t>Umdasch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Shopfitting</w:t>
      </w:r>
      <w:proofErr w:type="spellEnd"/>
      <w:r>
        <w:rPr>
          <w:rFonts w:cs="Arial"/>
          <w:szCs w:val="22"/>
        </w:rPr>
        <w:t xml:space="preserve"> Group herausfordernd. Die stagnierende Entwicklung des Handels und die damit verbundene verhaltene Investitionstätigkeit </w:t>
      </w:r>
      <w:r w:rsidR="00A943DC">
        <w:rPr>
          <w:rFonts w:cs="Arial"/>
          <w:szCs w:val="22"/>
        </w:rPr>
        <w:t>gehen am ebenfalls international tätigen Ladenbauunternehmen nicht spurlos vorüber und machen sich mit einem Umsatzeinbruch von minus 13,8% auch in der Bilanz deutlich bemerkbar.</w:t>
      </w:r>
      <w:r w:rsidR="004F2E44">
        <w:rPr>
          <w:rFonts w:cs="Arial"/>
          <w:szCs w:val="22"/>
        </w:rPr>
        <w:t xml:space="preserve"> Obwohl 2013 viele herausragende Projekte umgesetzt werden konnten (etwa die Eröffnung des Modehauses Stöcker auf 4.500 qm oder</w:t>
      </w:r>
      <w:r w:rsidR="007B2295">
        <w:rPr>
          <w:rFonts w:cs="Arial"/>
          <w:szCs w:val="22"/>
        </w:rPr>
        <w:t xml:space="preserve"> Paris Galleries</w:t>
      </w:r>
      <w:r w:rsidR="004F2E44">
        <w:rPr>
          <w:rFonts w:cs="Arial"/>
          <w:szCs w:val="22"/>
        </w:rPr>
        <w:t xml:space="preserve"> </w:t>
      </w:r>
      <w:r w:rsidR="007B2295">
        <w:rPr>
          <w:rFonts w:cs="Arial"/>
          <w:szCs w:val="22"/>
        </w:rPr>
        <w:t>in</w:t>
      </w:r>
      <w:r w:rsidR="004F2E44">
        <w:rPr>
          <w:rFonts w:cs="Arial"/>
          <w:szCs w:val="22"/>
        </w:rPr>
        <w:t xml:space="preserve"> </w:t>
      </w:r>
      <w:proofErr w:type="spellStart"/>
      <w:r w:rsidR="004F2E44">
        <w:rPr>
          <w:rFonts w:cs="Arial"/>
          <w:szCs w:val="22"/>
        </w:rPr>
        <w:t>Middle</w:t>
      </w:r>
      <w:proofErr w:type="spellEnd"/>
      <w:r w:rsidR="004F2E44">
        <w:rPr>
          <w:rFonts w:cs="Arial"/>
          <w:szCs w:val="22"/>
        </w:rPr>
        <w:t xml:space="preserve"> East) sanken die Umsätze deutlich – in Deutschland etwa um ein Viertel.</w:t>
      </w:r>
    </w:p>
    <w:p w:rsidR="004F2E44" w:rsidRDefault="004F2E44" w:rsidP="00452EB5">
      <w:pPr>
        <w:pStyle w:val="Fuzeile"/>
        <w:spacing w:line="240" w:lineRule="auto"/>
        <w:rPr>
          <w:rFonts w:cs="Arial"/>
          <w:szCs w:val="22"/>
        </w:rPr>
      </w:pPr>
    </w:p>
    <w:p w:rsidR="00334955" w:rsidRDefault="004F2E44" w:rsidP="00452EB5">
      <w:pPr>
        <w:pStyle w:val="Fuzeile"/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 xml:space="preserve">Die </w:t>
      </w:r>
      <w:proofErr w:type="spellStart"/>
      <w:r>
        <w:rPr>
          <w:rFonts w:cs="Arial"/>
          <w:szCs w:val="22"/>
        </w:rPr>
        <w:t>Umdasch</w:t>
      </w:r>
      <w:proofErr w:type="spellEnd"/>
      <w:r>
        <w:rPr>
          <w:rFonts w:cs="Arial"/>
          <w:szCs w:val="22"/>
        </w:rPr>
        <w:t xml:space="preserve"> </w:t>
      </w:r>
      <w:proofErr w:type="spellStart"/>
      <w:r>
        <w:rPr>
          <w:rFonts w:cs="Arial"/>
          <w:szCs w:val="22"/>
        </w:rPr>
        <w:t>Shopfitting</w:t>
      </w:r>
      <w:proofErr w:type="spellEnd"/>
      <w:r>
        <w:rPr>
          <w:rFonts w:cs="Arial"/>
          <w:szCs w:val="22"/>
        </w:rPr>
        <w:t xml:space="preserve"> Group befindet sich unter der Leitung von Silvio W. Kirchmair in einem tiefgreifenden Umstrukturierungsprozess. In einem wichtigen Schritt wurden die Divisionen nach Kompetenzen statt bisher nach Regionen unt</w:t>
      </w:r>
      <w:r w:rsidR="007B2295">
        <w:rPr>
          <w:rFonts w:cs="Arial"/>
          <w:szCs w:val="22"/>
        </w:rPr>
        <w:t>erteilt:</w:t>
      </w:r>
      <w:r>
        <w:rPr>
          <w:rFonts w:cs="Arial"/>
          <w:szCs w:val="22"/>
        </w:rPr>
        <w:t xml:space="preserve"> Fashion &amp; Lifestyle, Food &amp; Care, Premium &amp; Travel Retail sowie </w:t>
      </w:r>
      <w:proofErr w:type="spellStart"/>
      <w:r>
        <w:rPr>
          <w:rFonts w:cs="Arial"/>
          <w:szCs w:val="22"/>
        </w:rPr>
        <w:t>Vibiz</w:t>
      </w:r>
      <w:proofErr w:type="spellEnd"/>
      <w:r>
        <w:rPr>
          <w:rFonts w:cs="Arial"/>
          <w:szCs w:val="22"/>
        </w:rPr>
        <w:t>, das sich mit der Verschränkung von stationärem und Online-Handel beschäftigt.</w:t>
      </w:r>
    </w:p>
    <w:p w:rsidR="00416A93" w:rsidRDefault="00416A93" w:rsidP="00625645">
      <w:pPr>
        <w:pStyle w:val="Fuzeile"/>
        <w:spacing w:line="240" w:lineRule="auto"/>
        <w:rPr>
          <w:rFonts w:ascii="Arial" w:hAnsi="Arial"/>
          <w:b/>
          <w:szCs w:val="22"/>
          <w:lang w:val="de-AT"/>
        </w:rPr>
      </w:pPr>
    </w:p>
    <w:p w:rsidR="00416A93" w:rsidRDefault="00416A93" w:rsidP="00625645">
      <w:pPr>
        <w:pStyle w:val="Fuzeile"/>
        <w:spacing w:line="240" w:lineRule="auto"/>
        <w:rPr>
          <w:rFonts w:ascii="Arial" w:hAnsi="Arial"/>
          <w:b/>
          <w:szCs w:val="22"/>
          <w:lang w:val="de-AT"/>
        </w:rPr>
      </w:pPr>
    </w:p>
    <w:p w:rsidR="00416A93" w:rsidRDefault="00416A93" w:rsidP="00625645">
      <w:pPr>
        <w:pStyle w:val="Fuzeile"/>
        <w:spacing w:line="240" w:lineRule="auto"/>
        <w:rPr>
          <w:rFonts w:ascii="Arial" w:hAnsi="Arial"/>
          <w:b/>
          <w:szCs w:val="22"/>
          <w:lang w:val="de-AT"/>
        </w:rPr>
      </w:pPr>
    </w:p>
    <w:p w:rsidR="00A7162C" w:rsidRPr="00DE42D4" w:rsidRDefault="00DE42D4" w:rsidP="00625645">
      <w:pPr>
        <w:pStyle w:val="Fuzeile"/>
        <w:spacing w:line="240" w:lineRule="auto"/>
        <w:rPr>
          <w:rFonts w:ascii="Arial" w:hAnsi="Arial"/>
          <w:b/>
          <w:szCs w:val="22"/>
          <w:lang w:val="de-AT"/>
        </w:rPr>
      </w:pPr>
      <w:r>
        <w:rPr>
          <w:rFonts w:ascii="Arial" w:hAnsi="Arial"/>
          <w:b/>
          <w:szCs w:val="22"/>
          <w:lang w:val="de-AT"/>
        </w:rPr>
        <w:lastRenderedPageBreak/>
        <w:t>2013 – auch ein Jahr der großen</w:t>
      </w:r>
      <w:r w:rsidRPr="00DE42D4">
        <w:rPr>
          <w:rFonts w:ascii="Arial" w:hAnsi="Arial"/>
          <w:b/>
          <w:szCs w:val="22"/>
          <w:lang w:val="de-AT"/>
        </w:rPr>
        <w:t xml:space="preserve"> Herausforderungen</w:t>
      </w:r>
    </w:p>
    <w:p w:rsidR="006E68A1" w:rsidRDefault="00DE42D4" w:rsidP="00452EB5">
      <w:r>
        <w:t xml:space="preserve">Die starke internationale Ausrichtung unterwirft das Unternehmen 2013 auch </w:t>
      </w:r>
      <w:r w:rsidR="00580607">
        <w:t xml:space="preserve">nicht beeinflussbaren Faktoren. So schlugen sich </w:t>
      </w:r>
      <w:r>
        <w:t>Kursschwankungen</w:t>
      </w:r>
      <w:r w:rsidR="00580607">
        <w:t xml:space="preserve"> im Berichtsjahr deutlich negativ nieder</w:t>
      </w:r>
      <w:r>
        <w:t xml:space="preserve">. Sie tragen </w:t>
      </w:r>
      <w:r w:rsidR="00580607">
        <w:t xml:space="preserve">den größten Anteil an der Verringerung des </w:t>
      </w:r>
      <w:r>
        <w:t>Jahresüberschuss</w:t>
      </w:r>
      <w:r w:rsidR="00580607">
        <w:t>es</w:t>
      </w:r>
      <w:r>
        <w:t xml:space="preserve"> auf gesamt </w:t>
      </w:r>
      <w:r w:rsidR="00CA7716">
        <w:t xml:space="preserve">+ </w:t>
      </w:r>
      <w:r w:rsidR="00580607">
        <w:t>23 Mio. €</w:t>
      </w:r>
      <w:r>
        <w:t xml:space="preserve">. </w:t>
      </w:r>
      <w:r w:rsidR="00580607">
        <w:t xml:space="preserve">Bis auf eine </w:t>
      </w:r>
      <w:r w:rsidR="00CA7716">
        <w:t xml:space="preserve">Ausnahme </w:t>
      </w:r>
      <w:r w:rsidR="00580607">
        <w:t xml:space="preserve">haben im Vergleich zum Euro alle </w:t>
      </w:r>
      <w:r w:rsidR="00CA7716">
        <w:t>Exportw</w:t>
      </w:r>
      <w:r w:rsidR="00580607">
        <w:t>ährungen a</w:t>
      </w:r>
      <w:r w:rsidR="00CA7716">
        <w:t>b</w:t>
      </w:r>
      <w:r w:rsidR="00580607">
        <w:t xml:space="preserve">gewertet – ein Faktum, das </w:t>
      </w:r>
      <w:r w:rsidR="00CA7716">
        <w:t xml:space="preserve">sich </w:t>
      </w:r>
      <w:r w:rsidR="00580607">
        <w:t>bei einem Auslandsanteil vo</w:t>
      </w:r>
      <w:r w:rsidR="00CA7716">
        <w:t>n knapp 90% des Gesamtgeschäftes gravierend negativ niederschlägt.</w:t>
      </w:r>
    </w:p>
    <w:p w:rsidR="00580607" w:rsidRDefault="00580607" w:rsidP="00452EB5"/>
    <w:p w:rsidR="00580607" w:rsidRDefault="00580607" w:rsidP="00452EB5">
      <w:r>
        <w:t xml:space="preserve">Eine Thematik mit der die </w:t>
      </w:r>
      <w:proofErr w:type="spellStart"/>
      <w:r>
        <w:t>Umdasch</w:t>
      </w:r>
      <w:proofErr w:type="spellEnd"/>
      <w:r>
        <w:t xml:space="preserve"> Group am Standort in Amstetten weiterhin zu kämpfen hat, ist die regelmäßige Auslastung der Produktion. </w:t>
      </w:r>
      <w:r w:rsidR="007579C4">
        <w:t xml:space="preserve">Eine Debatte über die Einführung </w:t>
      </w:r>
      <w:r w:rsidR="00CA7716">
        <w:t>ein</w:t>
      </w:r>
      <w:r w:rsidR="001C6DCB">
        <w:t>e</w:t>
      </w:r>
      <w:r w:rsidR="00CA7716">
        <w:t>s flexiblen</w:t>
      </w:r>
      <w:r w:rsidR="007579C4">
        <w:t xml:space="preserve"> Arbeitszeitmodelle</w:t>
      </w:r>
      <w:r w:rsidR="00CA7716">
        <w:t>s</w:t>
      </w:r>
      <w:r w:rsidR="007579C4">
        <w:t xml:space="preserve"> endete in einer negativen Belegschaftsabstimmung. Aussetzungsverträge, der Abbau von Leasingmitarbeitern sowie die Reduktion des Zukaufs trugen dazu bei, dass ein einschneidender Personalabbau verhindert werden konnte.</w:t>
      </w:r>
    </w:p>
    <w:p w:rsidR="007579C4" w:rsidRDefault="007579C4" w:rsidP="00452EB5"/>
    <w:p w:rsidR="007B511E" w:rsidRDefault="007B511E" w:rsidP="003A6679">
      <w:pPr>
        <w:jc w:val="left"/>
      </w:pPr>
    </w:p>
    <w:p w:rsidR="007579C4" w:rsidRPr="007B511E" w:rsidRDefault="007B511E" w:rsidP="003A6679">
      <w:pPr>
        <w:jc w:val="left"/>
        <w:rPr>
          <w:b/>
        </w:rPr>
      </w:pPr>
      <w:r w:rsidRPr="007B511E">
        <w:rPr>
          <w:b/>
        </w:rPr>
        <w:t>Ausblick 2014</w:t>
      </w:r>
    </w:p>
    <w:p w:rsidR="006E68A1" w:rsidRDefault="007B511E" w:rsidP="00452EB5">
      <w:r>
        <w:t xml:space="preserve">Der Blick in das erste Quartalsergebnis 2014 lässt auf ein weiterhin konstantes Wachstum der </w:t>
      </w:r>
      <w:proofErr w:type="spellStart"/>
      <w:r>
        <w:t>Doka</w:t>
      </w:r>
      <w:proofErr w:type="spellEnd"/>
      <w:r>
        <w:t xml:space="preserve"> Group schließen. Die erfolgreich eingeschlagene Internationalisierungsstrategie</w:t>
      </w:r>
      <w:r w:rsidR="006716B5">
        <w:t xml:space="preserve"> wird vehement weiterverfolgt – sowohl mittels intensiver Bearbeitung bestehender als auch der Erschließung neuer Märkte.</w:t>
      </w:r>
    </w:p>
    <w:p w:rsidR="006716B5" w:rsidRDefault="006716B5" w:rsidP="00452EB5">
      <w:r>
        <w:t xml:space="preserve">Die </w:t>
      </w:r>
      <w:proofErr w:type="spellStart"/>
      <w:r>
        <w:t>Umdasch</w:t>
      </w:r>
      <w:proofErr w:type="spellEnd"/>
      <w:r>
        <w:t xml:space="preserve"> </w:t>
      </w:r>
      <w:proofErr w:type="spellStart"/>
      <w:r>
        <w:t>Shopfitting</w:t>
      </w:r>
      <w:proofErr w:type="spellEnd"/>
      <w:r>
        <w:t xml:space="preserve"> Group befindet sich </w:t>
      </w:r>
      <w:r w:rsidR="00CA7716">
        <w:t>heuer</w:t>
      </w:r>
      <w:r>
        <w:t xml:space="preserve"> weiterhin im Restrukturierungsmodus</w:t>
      </w:r>
      <w:r w:rsidR="00CA7716">
        <w:t xml:space="preserve"> – ein Kostensenkungsprogramm sowie umfangreiche Optimierungsmaßnahmen werden aller Voraussicht nach das Unternehmen allerdings 2014 noch nicht in die Gewinnzone bringen.</w:t>
      </w:r>
    </w:p>
    <w:p w:rsidR="00FA2E22" w:rsidRDefault="00FA2E22" w:rsidP="00FA2E22">
      <w:pPr>
        <w:jc w:val="left"/>
      </w:pPr>
    </w:p>
    <w:p w:rsidR="009D1657" w:rsidRDefault="009D1657" w:rsidP="00FA2E22">
      <w:pPr>
        <w:jc w:val="left"/>
      </w:pPr>
    </w:p>
    <w:p w:rsidR="00AA4569" w:rsidRDefault="00AA4569" w:rsidP="00AA4569">
      <w:pPr>
        <w:widowControl w:val="0"/>
        <w:rPr>
          <w:rFonts w:cs="Arial"/>
          <w:szCs w:val="22"/>
          <w:lang w:val="de-AT"/>
        </w:rPr>
      </w:pPr>
      <w:r w:rsidRPr="00E3305E">
        <w:rPr>
          <w:rFonts w:cs="Arial"/>
          <w:b/>
          <w:szCs w:val="22"/>
          <w:lang w:val="de-AT"/>
        </w:rPr>
        <w:t xml:space="preserve">Die </w:t>
      </w:r>
      <w:proofErr w:type="spellStart"/>
      <w:r w:rsidRPr="00E3305E">
        <w:rPr>
          <w:rFonts w:cs="Arial"/>
          <w:b/>
          <w:szCs w:val="22"/>
          <w:lang w:val="de-AT"/>
        </w:rPr>
        <w:t>Umdasch</w:t>
      </w:r>
      <w:proofErr w:type="spellEnd"/>
      <w:r w:rsidRPr="00E3305E">
        <w:rPr>
          <w:rFonts w:cs="Arial"/>
          <w:b/>
          <w:szCs w:val="22"/>
          <w:lang w:val="de-AT"/>
        </w:rPr>
        <w:t xml:space="preserve"> Group im Überblick</w:t>
      </w:r>
      <w:r w:rsidRPr="00E3305E">
        <w:rPr>
          <w:rFonts w:cs="Arial"/>
          <w:szCs w:val="22"/>
          <w:lang w:val="de-AT"/>
        </w:rPr>
        <w:t xml:space="preserve"> </w:t>
      </w:r>
    </w:p>
    <w:p w:rsidR="00AA4569" w:rsidRPr="00E3305E" w:rsidRDefault="00AA4569" w:rsidP="00452EB5">
      <w:pPr>
        <w:widowControl w:val="0"/>
        <w:rPr>
          <w:rFonts w:cs="Arial"/>
          <w:szCs w:val="22"/>
          <w:lang w:val="de-AT"/>
        </w:rPr>
      </w:pPr>
      <w:r w:rsidRPr="00E3305E">
        <w:rPr>
          <w:rFonts w:cs="Arial"/>
          <w:szCs w:val="22"/>
          <w:lang w:val="de-AT"/>
        </w:rPr>
        <w:t xml:space="preserve">Die international erfolgreiche </w:t>
      </w:r>
      <w:proofErr w:type="spellStart"/>
      <w:r w:rsidRPr="00E3305E">
        <w:rPr>
          <w:rFonts w:cs="Arial"/>
          <w:szCs w:val="22"/>
          <w:lang w:val="de-AT"/>
        </w:rPr>
        <w:t>Umdasch</w:t>
      </w:r>
      <w:proofErr w:type="spellEnd"/>
      <w:r w:rsidRPr="00E3305E">
        <w:rPr>
          <w:rFonts w:cs="Arial"/>
          <w:szCs w:val="22"/>
          <w:lang w:val="de-AT"/>
        </w:rPr>
        <w:t xml:space="preserve"> AG ist mit ihren Divisionen </w:t>
      </w:r>
      <w:proofErr w:type="spellStart"/>
      <w:r w:rsidRPr="00E3305E">
        <w:rPr>
          <w:rFonts w:cs="Arial"/>
          <w:szCs w:val="22"/>
          <w:lang w:val="de-AT"/>
        </w:rPr>
        <w:t>Doka</w:t>
      </w:r>
      <w:proofErr w:type="spellEnd"/>
      <w:r w:rsidRPr="00E3305E">
        <w:rPr>
          <w:rFonts w:cs="Arial"/>
          <w:szCs w:val="22"/>
          <w:lang w:val="de-AT"/>
        </w:rPr>
        <w:t xml:space="preserve"> Group und </w:t>
      </w:r>
      <w:proofErr w:type="spellStart"/>
      <w:r w:rsidRPr="00E3305E">
        <w:rPr>
          <w:rFonts w:cs="Arial"/>
          <w:szCs w:val="22"/>
          <w:lang w:val="de-AT"/>
        </w:rPr>
        <w:t>Umdasch</w:t>
      </w:r>
      <w:proofErr w:type="spellEnd"/>
      <w:r w:rsidRPr="00E3305E">
        <w:rPr>
          <w:rFonts w:cs="Arial"/>
          <w:szCs w:val="22"/>
          <w:lang w:val="de-AT"/>
        </w:rPr>
        <w:t xml:space="preserve"> </w:t>
      </w:r>
      <w:proofErr w:type="spellStart"/>
      <w:r w:rsidRPr="00E3305E">
        <w:rPr>
          <w:rFonts w:cs="Arial"/>
          <w:szCs w:val="22"/>
          <w:lang w:val="de-AT"/>
        </w:rPr>
        <w:t>Shopfitting</w:t>
      </w:r>
      <w:proofErr w:type="spellEnd"/>
      <w:r w:rsidRPr="00E3305E">
        <w:rPr>
          <w:rFonts w:cs="Arial"/>
          <w:szCs w:val="22"/>
          <w:lang w:val="de-AT"/>
        </w:rPr>
        <w:t xml:space="preserve"> Group in rund 70 Ländern an mehr als 170 Standorten tätig. </w:t>
      </w:r>
      <w:r>
        <w:rPr>
          <w:rFonts w:cs="Arial"/>
          <w:szCs w:val="22"/>
          <w:lang w:val="de-AT"/>
        </w:rPr>
        <w:t>Zu den f</w:t>
      </w:r>
      <w:r w:rsidRPr="00E3305E">
        <w:rPr>
          <w:rFonts w:cs="Arial"/>
          <w:szCs w:val="22"/>
          <w:lang w:val="de-AT"/>
        </w:rPr>
        <w:t>ührend</w:t>
      </w:r>
      <w:r>
        <w:rPr>
          <w:rFonts w:cs="Arial"/>
          <w:szCs w:val="22"/>
          <w:lang w:val="de-AT"/>
        </w:rPr>
        <w:t>en Unternehmen</w:t>
      </w:r>
      <w:r w:rsidRPr="00E3305E">
        <w:rPr>
          <w:rFonts w:cs="Arial"/>
          <w:szCs w:val="22"/>
          <w:lang w:val="de-AT"/>
        </w:rPr>
        <w:t xml:space="preserve"> in den Bereichen Beton-Systemschalungen sowie </w:t>
      </w:r>
      <w:proofErr w:type="spellStart"/>
      <w:r w:rsidRPr="00E3305E">
        <w:rPr>
          <w:rFonts w:cs="Arial"/>
          <w:szCs w:val="22"/>
          <w:lang w:val="de-AT"/>
        </w:rPr>
        <w:t>Ladenbau</w:t>
      </w:r>
      <w:proofErr w:type="spellEnd"/>
      <w:r>
        <w:rPr>
          <w:rFonts w:cs="Arial"/>
          <w:szCs w:val="22"/>
          <w:lang w:val="de-AT"/>
        </w:rPr>
        <w:t xml:space="preserve"> gehörend, </w:t>
      </w:r>
      <w:r w:rsidRPr="00E3305E">
        <w:rPr>
          <w:rFonts w:cs="Arial"/>
          <w:szCs w:val="22"/>
          <w:lang w:val="de-AT"/>
        </w:rPr>
        <w:t xml:space="preserve">beschäftigt das Familienunternehmen </w:t>
      </w:r>
      <w:r>
        <w:rPr>
          <w:rFonts w:cs="Arial"/>
          <w:szCs w:val="22"/>
          <w:lang w:val="de-AT"/>
        </w:rPr>
        <w:t xml:space="preserve">derzeit </w:t>
      </w:r>
      <w:r w:rsidRPr="00E3305E">
        <w:rPr>
          <w:rFonts w:cs="Arial"/>
          <w:szCs w:val="22"/>
          <w:lang w:val="de-AT"/>
        </w:rPr>
        <w:t xml:space="preserve">weltweit </w:t>
      </w:r>
      <w:r>
        <w:rPr>
          <w:rFonts w:cs="Arial"/>
          <w:szCs w:val="22"/>
          <w:lang w:val="de-AT"/>
        </w:rPr>
        <w:t>7.400</w:t>
      </w:r>
      <w:r w:rsidRPr="00E3305E">
        <w:rPr>
          <w:rFonts w:cs="Arial"/>
          <w:szCs w:val="22"/>
          <w:lang w:val="de-AT"/>
        </w:rPr>
        <w:t xml:space="preserve"> Mitarbeiter und zählt mit </w:t>
      </w:r>
      <w:r>
        <w:rPr>
          <w:rFonts w:cs="Arial"/>
          <w:szCs w:val="22"/>
          <w:lang w:val="de-AT"/>
        </w:rPr>
        <w:t>fast 1,1 Mrd. €</w:t>
      </w:r>
      <w:r w:rsidRPr="00E3305E">
        <w:rPr>
          <w:rFonts w:cs="Arial"/>
          <w:szCs w:val="22"/>
          <w:lang w:val="de-AT"/>
        </w:rPr>
        <w:t xml:space="preserve"> Umsatz zu den Top-Playern der heimischen Industriebranche. Den Kernfokus auf die Internationalisierung der Gruppe zu legen, stellt auch zukünftig den Wachstumstreiber für die </w:t>
      </w:r>
      <w:proofErr w:type="spellStart"/>
      <w:r w:rsidRPr="00E3305E">
        <w:rPr>
          <w:rFonts w:cs="Arial"/>
          <w:szCs w:val="22"/>
          <w:lang w:val="de-AT"/>
        </w:rPr>
        <w:t>Umdasch</w:t>
      </w:r>
      <w:proofErr w:type="spellEnd"/>
      <w:r w:rsidRPr="00E3305E">
        <w:rPr>
          <w:rFonts w:cs="Arial"/>
          <w:szCs w:val="22"/>
          <w:lang w:val="de-AT"/>
        </w:rPr>
        <w:t xml:space="preserve"> Group dar. Aktuell werden </w:t>
      </w:r>
      <w:r>
        <w:rPr>
          <w:rFonts w:cs="Arial"/>
          <w:szCs w:val="22"/>
          <w:lang w:val="de-AT"/>
        </w:rPr>
        <w:t>88</w:t>
      </w:r>
      <w:r w:rsidRPr="00E3305E">
        <w:rPr>
          <w:rFonts w:cs="Arial"/>
          <w:szCs w:val="22"/>
          <w:lang w:val="de-AT"/>
        </w:rPr>
        <w:t>% des Umsatzes im Ausland erwirtschaftet.</w:t>
      </w:r>
    </w:p>
    <w:p w:rsidR="00AA4569" w:rsidRPr="00E3305E" w:rsidRDefault="00AA4569" w:rsidP="00AA4569">
      <w:pPr>
        <w:rPr>
          <w:rFonts w:cs="Arial"/>
          <w:szCs w:val="22"/>
          <w:lang w:val="pt-PT"/>
        </w:rPr>
      </w:pPr>
    </w:p>
    <w:p w:rsidR="00AA4569" w:rsidRPr="00E3305E" w:rsidRDefault="00AA4569" w:rsidP="00AA4569">
      <w:pPr>
        <w:rPr>
          <w:rFonts w:cs="Arial"/>
          <w:szCs w:val="22"/>
          <w:lang w:val="pt-PT"/>
        </w:rPr>
      </w:pPr>
    </w:p>
    <w:p w:rsidR="00AA4569" w:rsidRPr="00E3305E" w:rsidRDefault="00AA4569" w:rsidP="00AA4569">
      <w:pPr>
        <w:rPr>
          <w:rFonts w:cs="Arial"/>
          <w:i/>
          <w:sz w:val="20"/>
          <w:u w:val="single"/>
          <w:lang w:val="pt-PT"/>
        </w:rPr>
      </w:pPr>
      <w:r w:rsidRPr="00E3305E">
        <w:rPr>
          <w:rFonts w:cs="Arial"/>
          <w:i/>
          <w:sz w:val="20"/>
          <w:u w:val="single"/>
          <w:lang w:val="pt-PT"/>
        </w:rPr>
        <w:t>Für Fragen und weiterführende Informationen wenden Sie sich bitte an:</w:t>
      </w:r>
    </w:p>
    <w:p w:rsidR="00AA4569" w:rsidRPr="00E3305E" w:rsidRDefault="00AA4569" w:rsidP="00AA4569">
      <w:pPr>
        <w:pStyle w:val="berschrift9"/>
        <w:spacing w:line="240" w:lineRule="atLeast"/>
        <w:rPr>
          <w:sz w:val="20"/>
          <w:szCs w:val="20"/>
        </w:rPr>
      </w:pPr>
      <w:proofErr w:type="spellStart"/>
      <w:r w:rsidRPr="00E3305E">
        <w:rPr>
          <w:sz w:val="20"/>
          <w:szCs w:val="20"/>
        </w:rPr>
        <w:t>Umdasch</w:t>
      </w:r>
      <w:proofErr w:type="spellEnd"/>
      <w:r w:rsidRPr="00E3305E">
        <w:rPr>
          <w:sz w:val="20"/>
          <w:szCs w:val="20"/>
        </w:rPr>
        <w:t xml:space="preserve"> AG, Josef </w:t>
      </w:r>
      <w:proofErr w:type="spellStart"/>
      <w:r w:rsidRPr="00E3305E">
        <w:rPr>
          <w:sz w:val="20"/>
          <w:szCs w:val="20"/>
        </w:rPr>
        <w:t>Umdasch</w:t>
      </w:r>
      <w:proofErr w:type="spellEnd"/>
      <w:r w:rsidRPr="00E3305E">
        <w:rPr>
          <w:sz w:val="20"/>
          <w:szCs w:val="20"/>
        </w:rPr>
        <w:t xml:space="preserve"> Platz 1, 3300 Amstetten</w:t>
      </w:r>
    </w:p>
    <w:p w:rsidR="00AA4569" w:rsidRPr="00E3305E" w:rsidRDefault="00AA4569" w:rsidP="00AA4569">
      <w:pPr>
        <w:pStyle w:val="berschrift9"/>
        <w:rPr>
          <w:sz w:val="20"/>
          <w:szCs w:val="20"/>
        </w:rPr>
      </w:pPr>
      <w:r w:rsidRPr="00E3305E">
        <w:rPr>
          <w:sz w:val="20"/>
          <w:szCs w:val="20"/>
        </w:rPr>
        <w:t>Tel. 07472/605-2</w:t>
      </w:r>
      <w:r w:rsidR="00B93FCC">
        <w:rPr>
          <w:sz w:val="20"/>
          <w:szCs w:val="20"/>
        </w:rPr>
        <w:t>431</w:t>
      </w:r>
      <w:r w:rsidRPr="00E3305E">
        <w:rPr>
          <w:sz w:val="20"/>
          <w:szCs w:val="20"/>
        </w:rPr>
        <w:t xml:space="preserve">    Fax 07472/605-3600   E-</w:t>
      </w:r>
      <w:proofErr w:type="spellStart"/>
      <w:r w:rsidRPr="00E3305E">
        <w:rPr>
          <w:sz w:val="20"/>
          <w:szCs w:val="20"/>
        </w:rPr>
        <w:t>mail</w:t>
      </w:r>
      <w:proofErr w:type="spellEnd"/>
      <w:r w:rsidRPr="00E3305E">
        <w:rPr>
          <w:sz w:val="20"/>
          <w:szCs w:val="20"/>
        </w:rPr>
        <w:t xml:space="preserve">: </w:t>
      </w:r>
      <w:hyperlink r:id="rId7" w:history="1">
        <w:r w:rsidR="0088752E" w:rsidRPr="00546B02">
          <w:rPr>
            <w:rStyle w:val="Hyperlink"/>
            <w:sz w:val="20"/>
            <w:szCs w:val="20"/>
          </w:rPr>
          <w:t>evi.roseneder@umdasch.com</w:t>
        </w:r>
      </w:hyperlink>
    </w:p>
    <w:p w:rsidR="00625645" w:rsidRDefault="00625645" w:rsidP="00625645">
      <w:pPr>
        <w:pStyle w:val="Fuzeile"/>
        <w:spacing w:line="240" w:lineRule="auto"/>
        <w:rPr>
          <w:rFonts w:ascii="Arial" w:hAnsi="Arial"/>
          <w:szCs w:val="22"/>
          <w:lang w:val="de-AT"/>
        </w:rPr>
      </w:pPr>
    </w:p>
    <w:p w:rsidR="00F9606A" w:rsidRDefault="00F9606A">
      <w:pPr>
        <w:pStyle w:val="berschrift9"/>
      </w:pPr>
    </w:p>
    <w:sectPr w:rsidR="00F9606A" w:rsidSect="00FE01D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567" w:footer="851" w:gutter="0"/>
      <w:paperSrc w:first="259" w:other="259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13C5" w:rsidRDefault="006513C5">
      <w:r>
        <w:separator/>
      </w:r>
    </w:p>
  </w:endnote>
  <w:endnote w:type="continuationSeparator" w:id="0">
    <w:p w:rsidR="006513C5" w:rsidRDefault="006513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B0500000000000000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D5" w:rsidRDefault="00216F27">
    <w:pPr>
      <w:pStyle w:val="Fuzeile"/>
      <w:tabs>
        <w:tab w:val="clear" w:pos="9071"/>
        <w:tab w:val="right" w:pos="9072"/>
      </w:tabs>
      <w:rPr>
        <w:sz w:val="15"/>
        <w:szCs w:val="15"/>
      </w:rPr>
    </w:pPr>
    <w:r>
      <w:rPr>
        <w:sz w:val="15"/>
        <w:szCs w:val="15"/>
      </w:rPr>
      <w:t>Presseinfo-Umdasch-Bilanz</w:t>
    </w:r>
    <w:r w:rsidR="009147D5">
      <w:rPr>
        <w:sz w:val="15"/>
        <w:szCs w:val="15"/>
      </w:rPr>
      <w:t>-GJ201</w:t>
    </w:r>
    <w:r w:rsidR="00F60016">
      <w:rPr>
        <w:sz w:val="15"/>
        <w:szCs w:val="15"/>
      </w:rPr>
      <w:t>3-052014</w:t>
    </w:r>
    <w:r w:rsidR="009147D5">
      <w:rPr>
        <w:sz w:val="15"/>
        <w:szCs w:val="15"/>
      </w:rPr>
      <w:tab/>
    </w:r>
    <w:r w:rsidR="009147D5">
      <w:rPr>
        <w:sz w:val="15"/>
        <w:szCs w:val="15"/>
      </w:rPr>
      <w:tab/>
      <w:t xml:space="preserve">Seite </w:t>
    </w:r>
    <w:r w:rsidR="00CE0FFB">
      <w:rPr>
        <w:sz w:val="15"/>
        <w:szCs w:val="15"/>
      </w:rPr>
      <w:fldChar w:fldCharType="begin"/>
    </w:r>
    <w:r w:rsidR="009147D5">
      <w:rPr>
        <w:sz w:val="15"/>
        <w:szCs w:val="15"/>
      </w:rPr>
      <w:instrText xml:space="preserve"> PAGE </w:instrText>
    </w:r>
    <w:r w:rsidR="00CE0FFB">
      <w:rPr>
        <w:sz w:val="15"/>
        <w:szCs w:val="15"/>
      </w:rPr>
      <w:fldChar w:fldCharType="separate"/>
    </w:r>
    <w:r w:rsidR="00CC489E">
      <w:rPr>
        <w:noProof/>
        <w:sz w:val="15"/>
        <w:szCs w:val="15"/>
      </w:rPr>
      <w:t>2</w:t>
    </w:r>
    <w:r w:rsidR="00CE0FFB">
      <w:rPr>
        <w:sz w:val="15"/>
        <w:szCs w:val="15"/>
      </w:rPr>
      <w:fldChar w:fldCharType="end"/>
    </w:r>
    <w:r w:rsidR="009147D5">
      <w:rPr>
        <w:sz w:val="15"/>
        <w:szCs w:val="15"/>
      </w:rPr>
      <w:t xml:space="preserve"> von 2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D5" w:rsidRDefault="009147D5">
    <w:pPr>
      <w:pStyle w:val="Fuzeile"/>
      <w:tabs>
        <w:tab w:val="clear" w:pos="9071"/>
        <w:tab w:val="right" w:pos="9072"/>
      </w:tabs>
      <w:rPr>
        <w:sz w:val="15"/>
        <w:szCs w:val="15"/>
      </w:rPr>
    </w:pPr>
    <w:r>
      <w:rPr>
        <w:sz w:val="15"/>
        <w:szCs w:val="15"/>
      </w:rPr>
      <w:t>Pr</w:t>
    </w:r>
    <w:r w:rsidR="00F60016">
      <w:rPr>
        <w:sz w:val="15"/>
        <w:szCs w:val="15"/>
      </w:rPr>
      <w:t>esseinfo-Umdasch-BilanzPK-GJ2013-WienAmstetten052014</w:t>
    </w:r>
    <w:r>
      <w:rPr>
        <w:sz w:val="15"/>
        <w:szCs w:val="15"/>
      </w:rPr>
      <w:tab/>
    </w:r>
    <w:r>
      <w:rPr>
        <w:sz w:val="15"/>
        <w:szCs w:val="15"/>
      </w:rPr>
      <w:tab/>
      <w:t xml:space="preserve">Seite </w:t>
    </w:r>
    <w:r w:rsidR="00CE0FFB">
      <w:rPr>
        <w:sz w:val="15"/>
        <w:szCs w:val="15"/>
      </w:rPr>
      <w:fldChar w:fldCharType="begin"/>
    </w:r>
    <w:r>
      <w:rPr>
        <w:sz w:val="15"/>
        <w:szCs w:val="15"/>
      </w:rPr>
      <w:instrText xml:space="preserve"> PAGE </w:instrText>
    </w:r>
    <w:r w:rsidR="00CE0FFB">
      <w:rPr>
        <w:sz w:val="15"/>
        <w:szCs w:val="15"/>
      </w:rPr>
      <w:fldChar w:fldCharType="separate"/>
    </w:r>
    <w:r w:rsidR="00CC489E">
      <w:rPr>
        <w:noProof/>
        <w:sz w:val="15"/>
        <w:szCs w:val="15"/>
      </w:rPr>
      <w:t>1</w:t>
    </w:r>
    <w:r w:rsidR="00CE0FFB">
      <w:rPr>
        <w:sz w:val="15"/>
        <w:szCs w:val="15"/>
      </w:rPr>
      <w:fldChar w:fldCharType="end"/>
    </w:r>
    <w:r>
      <w:rPr>
        <w:sz w:val="15"/>
        <w:szCs w:val="15"/>
      </w:rPr>
      <w:t xml:space="preserve"> von 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13C5" w:rsidRDefault="006513C5">
      <w:r>
        <w:separator/>
      </w:r>
    </w:p>
  </w:footnote>
  <w:footnote w:type="continuationSeparator" w:id="0">
    <w:p w:rsidR="006513C5" w:rsidRDefault="006513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D5" w:rsidRDefault="009147D5">
    <w:pPr>
      <w:pStyle w:val="Kopfzeile"/>
      <w:tabs>
        <w:tab w:val="clear" w:pos="4536"/>
        <w:tab w:val="clear" w:pos="7088"/>
        <w:tab w:val="right" w:pos="9072"/>
      </w:tabs>
      <w:jc w:val="left"/>
      <w:rPr>
        <w:sz w:val="17"/>
        <w:szCs w:val="17"/>
      </w:rPr>
    </w:pPr>
    <w:r>
      <w:rPr>
        <w:sz w:val="17"/>
        <w:szCs w:val="17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7D5" w:rsidRDefault="009147D5">
    <w:pPr>
      <w:pStyle w:val="Kopfzeile"/>
      <w:tabs>
        <w:tab w:val="clear" w:pos="4536"/>
        <w:tab w:val="clear" w:pos="7088"/>
        <w:tab w:val="right" w:pos="9072"/>
      </w:tabs>
      <w:jc w:val="left"/>
      <w:rPr>
        <w:sz w:val="17"/>
        <w:szCs w:val="17"/>
      </w:rPr>
    </w:pPr>
    <w:r>
      <w:rPr>
        <w:b/>
        <w:sz w:val="27"/>
        <w:szCs w:val="27"/>
        <w:u w:val="single"/>
      </w:rPr>
      <w:t>Pressemitteilung</w:t>
    </w:r>
    <w:r>
      <w:rPr>
        <w:b/>
        <w:sz w:val="27"/>
        <w:szCs w:val="27"/>
      </w:rPr>
      <w:tab/>
    </w:r>
    <w:r w:rsidRPr="0063506D">
      <w:rPr>
        <w:b/>
        <w:noProof/>
        <w:sz w:val="27"/>
        <w:szCs w:val="27"/>
        <w:lang w:eastAsia="de-DE"/>
      </w:rPr>
      <w:drawing>
        <wp:inline distT="0" distB="0" distL="0" distR="0">
          <wp:extent cx="2405019" cy="397699"/>
          <wp:effectExtent l="19050" t="0" r="0" b="0"/>
          <wp:docPr id="1" name="Bild 1" descr="umdaschgroup_1C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mdaschgroup_1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05019" cy="3976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intFractionalCharacterWidth/>
  <w:proofState w:spelling="clean" w:grammar="clean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E73CEE"/>
    <w:rsid w:val="0000024C"/>
    <w:rsid w:val="0000414C"/>
    <w:rsid w:val="000054B8"/>
    <w:rsid w:val="00007AE3"/>
    <w:rsid w:val="00022EFF"/>
    <w:rsid w:val="00032C99"/>
    <w:rsid w:val="00033B89"/>
    <w:rsid w:val="0005377D"/>
    <w:rsid w:val="00066F08"/>
    <w:rsid w:val="00087CBD"/>
    <w:rsid w:val="00090599"/>
    <w:rsid w:val="000A1AB2"/>
    <w:rsid w:val="000A47EB"/>
    <w:rsid w:val="000C6865"/>
    <w:rsid w:val="000D532A"/>
    <w:rsid w:val="000E3D56"/>
    <w:rsid w:val="000E6076"/>
    <w:rsid w:val="0010114D"/>
    <w:rsid w:val="00114851"/>
    <w:rsid w:val="001337C1"/>
    <w:rsid w:val="0014742E"/>
    <w:rsid w:val="00150A17"/>
    <w:rsid w:val="001608BD"/>
    <w:rsid w:val="0018053F"/>
    <w:rsid w:val="00185FAA"/>
    <w:rsid w:val="001930C4"/>
    <w:rsid w:val="001A0FD9"/>
    <w:rsid w:val="001A34BF"/>
    <w:rsid w:val="001B32F5"/>
    <w:rsid w:val="001B7282"/>
    <w:rsid w:val="001C382D"/>
    <w:rsid w:val="001C6DCB"/>
    <w:rsid w:val="001D0F71"/>
    <w:rsid w:val="001D1310"/>
    <w:rsid w:val="001D5658"/>
    <w:rsid w:val="00204A07"/>
    <w:rsid w:val="002169FA"/>
    <w:rsid w:val="00216F27"/>
    <w:rsid w:val="00217E6B"/>
    <w:rsid w:val="0024279E"/>
    <w:rsid w:val="002503E8"/>
    <w:rsid w:val="002609C4"/>
    <w:rsid w:val="00262541"/>
    <w:rsid w:val="002846DE"/>
    <w:rsid w:val="00284FA3"/>
    <w:rsid w:val="00285EED"/>
    <w:rsid w:val="00295EE2"/>
    <w:rsid w:val="002A0C8A"/>
    <w:rsid w:val="002A7623"/>
    <w:rsid w:val="002C5E2B"/>
    <w:rsid w:val="002F1574"/>
    <w:rsid w:val="003001F4"/>
    <w:rsid w:val="00304877"/>
    <w:rsid w:val="003062AF"/>
    <w:rsid w:val="0031351F"/>
    <w:rsid w:val="003164E2"/>
    <w:rsid w:val="00334955"/>
    <w:rsid w:val="00342084"/>
    <w:rsid w:val="00343D30"/>
    <w:rsid w:val="0038590E"/>
    <w:rsid w:val="003916F9"/>
    <w:rsid w:val="00396D6D"/>
    <w:rsid w:val="003A5A1C"/>
    <w:rsid w:val="003A6679"/>
    <w:rsid w:val="003C1F3C"/>
    <w:rsid w:val="003C5181"/>
    <w:rsid w:val="003D3DEC"/>
    <w:rsid w:val="003D5529"/>
    <w:rsid w:val="00416A93"/>
    <w:rsid w:val="00422FD4"/>
    <w:rsid w:val="004230FA"/>
    <w:rsid w:val="0043723B"/>
    <w:rsid w:val="00452EB5"/>
    <w:rsid w:val="00463297"/>
    <w:rsid w:val="00464CE6"/>
    <w:rsid w:val="004662FB"/>
    <w:rsid w:val="004870F1"/>
    <w:rsid w:val="00491DAF"/>
    <w:rsid w:val="00493969"/>
    <w:rsid w:val="00496F2B"/>
    <w:rsid w:val="004A4E40"/>
    <w:rsid w:val="004A4F04"/>
    <w:rsid w:val="004B3C46"/>
    <w:rsid w:val="004B6130"/>
    <w:rsid w:val="004C2BC5"/>
    <w:rsid w:val="004D026A"/>
    <w:rsid w:val="004D49F6"/>
    <w:rsid w:val="004D7B30"/>
    <w:rsid w:val="004F2E44"/>
    <w:rsid w:val="005034B0"/>
    <w:rsid w:val="00506307"/>
    <w:rsid w:val="005077CB"/>
    <w:rsid w:val="00517567"/>
    <w:rsid w:val="00521798"/>
    <w:rsid w:val="00527816"/>
    <w:rsid w:val="005418D5"/>
    <w:rsid w:val="0055589B"/>
    <w:rsid w:val="00557669"/>
    <w:rsid w:val="00557D6B"/>
    <w:rsid w:val="00580607"/>
    <w:rsid w:val="00585B82"/>
    <w:rsid w:val="005A29B9"/>
    <w:rsid w:val="005C4198"/>
    <w:rsid w:val="005C4FD4"/>
    <w:rsid w:val="005D3393"/>
    <w:rsid w:val="005F46B1"/>
    <w:rsid w:val="006136C1"/>
    <w:rsid w:val="00624C51"/>
    <w:rsid w:val="00625645"/>
    <w:rsid w:val="0063506D"/>
    <w:rsid w:val="006513C5"/>
    <w:rsid w:val="0066287B"/>
    <w:rsid w:val="00662AB9"/>
    <w:rsid w:val="00665581"/>
    <w:rsid w:val="006716B5"/>
    <w:rsid w:val="006A5C1D"/>
    <w:rsid w:val="006B3CB6"/>
    <w:rsid w:val="006B585A"/>
    <w:rsid w:val="006C5684"/>
    <w:rsid w:val="006C5768"/>
    <w:rsid w:val="006D303C"/>
    <w:rsid w:val="006E68A1"/>
    <w:rsid w:val="006F27B8"/>
    <w:rsid w:val="007170F7"/>
    <w:rsid w:val="007579C4"/>
    <w:rsid w:val="0076281D"/>
    <w:rsid w:val="007835E7"/>
    <w:rsid w:val="0079369D"/>
    <w:rsid w:val="00796505"/>
    <w:rsid w:val="007A6552"/>
    <w:rsid w:val="007B2295"/>
    <w:rsid w:val="007B27A8"/>
    <w:rsid w:val="007B511E"/>
    <w:rsid w:val="007B554F"/>
    <w:rsid w:val="007B7D1A"/>
    <w:rsid w:val="007C34D6"/>
    <w:rsid w:val="007D7216"/>
    <w:rsid w:val="007F681A"/>
    <w:rsid w:val="00820AB0"/>
    <w:rsid w:val="008230BB"/>
    <w:rsid w:val="00847E88"/>
    <w:rsid w:val="008602DE"/>
    <w:rsid w:val="008664AC"/>
    <w:rsid w:val="008800A6"/>
    <w:rsid w:val="00882163"/>
    <w:rsid w:val="0088752E"/>
    <w:rsid w:val="008B53EF"/>
    <w:rsid w:val="008C68AD"/>
    <w:rsid w:val="008D0116"/>
    <w:rsid w:val="008D0194"/>
    <w:rsid w:val="008D2289"/>
    <w:rsid w:val="008E193F"/>
    <w:rsid w:val="008E5A6A"/>
    <w:rsid w:val="008E6470"/>
    <w:rsid w:val="00903538"/>
    <w:rsid w:val="00904181"/>
    <w:rsid w:val="009147D5"/>
    <w:rsid w:val="00923A65"/>
    <w:rsid w:val="009247F0"/>
    <w:rsid w:val="00952596"/>
    <w:rsid w:val="00952785"/>
    <w:rsid w:val="009539D6"/>
    <w:rsid w:val="00962F18"/>
    <w:rsid w:val="009714A5"/>
    <w:rsid w:val="009821FE"/>
    <w:rsid w:val="00985EF2"/>
    <w:rsid w:val="00996855"/>
    <w:rsid w:val="009A427B"/>
    <w:rsid w:val="009B30AD"/>
    <w:rsid w:val="009C41DB"/>
    <w:rsid w:val="009D1657"/>
    <w:rsid w:val="009D2A15"/>
    <w:rsid w:val="009F2313"/>
    <w:rsid w:val="009F2F30"/>
    <w:rsid w:val="00A31FEC"/>
    <w:rsid w:val="00A44BBC"/>
    <w:rsid w:val="00A55F23"/>
    <w:rsid w:val="00A62E71"/>
    <w:rsid w:val="00A7162C"/>
    <w:rsid w:val="00A82ECB"/>
    <w:rsid w:val="00A83076"/>
    <w:rsid w:val="00A943DC"/>
    <w:rsid w:val="00AA01F8"/>
    <w:rsid w:val="00AA4569"/>
    <w:rsid w:val="00AA7ECD"/>
    <w:rsid w:val="00AC1044"/>
    <w:rsid w:val="00AC3E9C"/>
    <w:rsid w:val="00AD69CE"/>
    <w:rsid w:val="00AF0941"/>
    <w:rsid w:val="00B0110F"/>
    <w:rsid w:val="00B623CB"/>
    <w:rsid w:val="00B767F5"/>
    <w:rsid w:val="00B93C39"/>
    <w:rsid w:val="00B93FCC"/>
    <w:rsid w:val="00B95F1E"/>
    <w:rsid w:val="00BC2039"/>
    <w:rsid w:val="00BC646F"/>
    <w:rsid w:val="00BD7801"/>
    <w:rsid w:val="00BE3D06"/>
    <w:rsid w:val="00C0472D"/>
    <w:rsid w:val="00C06BF6"/>
    <w:rsid w:val="00C45995"/>
    <w:rsid w:val="00C67518"/>
    <w:rsid w:val="00C70908"/>
    <w:rsid w:val="00C717F6"/>
    <w:rsid w:val="00C90F01"/>
    <w:rsid w:val="00CA73A0"/>
    <w:rsid w:val="00CA7716"/>
    <w:rsid w:val="00CB472B"/>
    <w:rsid w:val="00CC3318"/>
    <w:rsid w:val="00CC489E"/>
    <w:rsid w:val="00CC4FD4"/>
    <w:rsid w:val="00CD3299"/>
    <w:rsid w:val="00CD62E5"/>
    <w:rsid w:val="00CD7C8D"/>
    <w:rsid w:val="00CE0FFB"/>
    <w:rsid w:val="00CE454A"/>
    <w:rsid w:val="00D011B5"/>
    <w:rsid w:val="00D03C72"/>
    <w:rsid w:val="00D05A6D"/>
    <w:rsid w:val="00D1676A"/>
    <w:rsid w:val="00D25CED"/>
    <w:rsid w:val="00D41D15"/>
    <w:rsid w:val="00D741FF"/>
    <w:rsid w:val="00D92677"/>
    <w:rsid w:val="00DA30EF"/>
    <w:rsid w:val="00DE42D4"/>
    <w:rsid w:val="00DF3325"/>
    <w:rsid w:val="00E122A2"/>
    <w:rsid w:val="00E230AA"/>
    <w:rsid w:val="00E374B1"/>
    <w:rsid w:val="00E73CEE"/>
    <w:rsid w:val="00E902D3"/>
    <w:rsid w:val="00E938BC"/>
    <w:rsid w:val="00E96D69"/>
    <w:rsid w:val="00EA78B9"/>
    <w:rsid w:val="00EC5CF7"/>
    <w:rsid w:val="00EE7147"/>
    <w:rsid w:val="00EF4F7C"/>
    <w:rsid w:val="00F11F94"/>
    <w:rsid w:val="00F168FF"/>
    <w:rsid w:val="00F24312"/>
    <w:rsid w:val="00F32523"/>
    <w:rsid w:val="00F45961"/>
    <w:rsid w:val="00F51E0F"/>
    <w:rsid w:val="00F56060"/>
    <w:rsid w:val="00F60016"/>
    <w:rsid w:val="00F614AF"/>
    <w:rsid w:val="00F72512"/>
    <w:rsid w:val="00F73390"/>
    <w:rsid w:val="00F745DD"/>
    <w:rsid w:val="00F91C89"/>
    <w:rsid w:val="00F92CC3"/>
    <w:rsid w:val="00F94DFF"/>
    <w:rsid w:val="00F9606A"/>
    <w:rsid w:val="00FA2E22"/>
    <w:rsid w:val="00FB0E5E"/>
    <w:rsid w:val="00FD1DE2"/>
    <w:rsid w:val="00FD3AF0"/>
    <w:rsid w:val="00FD3C23"/>
    <w:rsid w:val="00FE01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7835E7"/>
    <w:pPr>
      <w:tabs>
        <w:tab w:val="left" w:pos="708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lang w:val="de-DE"/>
    </w:rPr>
  </w:style>
  <w:style w:type="paragraph" w:styleId="berschrift1">
    <w:name w:val="heading 1"/>
    <w:basedOn w:val="Standard"/>
    <w:qFormat/>
    <w:rsid w:val="007835E7"/>
    <w:pPr>
      <w:tabs>
        <w:tab w:val="left" w:pos="284"/>
        <w:tab w:val="left" w:pos="567"/>
        <w:tab w:val="left" w:pos="851"/>
      </w:tabs>
      <w:ind w:left="284" w:hanging="284"/>
      <w:outlineLvl w:val="0"/>
    </w:pPr>
  </w:style>
  <w:style w:type="paragraph" w:styleId="berschrift2">
    <w:name w:val="heading 2"/>
    <w:basedOn w:val="Standard"/>
    <w:qFormat/>
    <w:rsid w:val="007835E7"/>
    <w:pPr>
      <w:tabs>
        <w:tab w:val="left" w:pos="567"/>
        <w:tab w:val="left" w:pos="851"/>
        <w:tab w:val="left" w:pos="1134"/>
      </w:tabs>
      <w:ind w:left="567" w:hanging="284"/>
      <w:outlineLvl w:val="1"/>
    </w:pPr>
  </w:style>
  <w:style w:type="paragraph" w:styleId="berschrift3">
    <w:name w:val="heading 3"/>
    <w:basedOn w:val="Standard"/>
    <w:qFormat/>
    <w:rsid w:val="007835E7"/>
    <w:pPr>
      <w:ind w:left="851" w:hanging="284"/>
      <w:outlineLvl w:val="2"/>
    </w:pPr>
  </w:style>
  <w:style w:type="paragraph" w:styleId="berschrift4">
    <w:name w:val="heading 4"/>
    <w:basedOn w:val="Standard"/>
    <w:next w:val="Standard"/>
    <w:qFormat/>
    <w:rsid w:val="007835E7"/>
    <w:pPr>
      <w:keepNext/>
      <w:tabs>
        <w:tab w:val="left" w:pos="480"/>
        <w:tab w:val="center" w:pos="4680"/>
        <w:tab w:val="left" w:pos="6240"/>
      </w:tabs>
      <w:jc w:val="center"/>
      <w:outlineLvl w:val="3"/>
    </w:pPr>
    <w:rPr>
      <w:b/>
    </w:rPr>
  </w:style>
  <w:style w:type="paragraph" w:styleId="berschrift5">
    <w:name w:val="heading 5"/>
    <w:basedOn w:val="Standard"/>
    <w:next w:val="Standard"/>
    <w:qFormat/>
    <w:rsid w:val="007835E7"/>
    <w:pPr>
      <w:keepNext/>
      <w:spacing w:line="360" w:lineRule="atLeast"/>
      <w:outlineLvl w:val="4"/>
    </w:pPr>
    <w:rPr>
      <w:b/>
      <w:sz w:val="36"/>
    </w:rPr>
  </w:style>
  <w:style w:type="paragraph" w:styleId="berschrift6">
    <w:name w:val="heading 6"/>
    <w:basedOn w:val="Standard"/>
    <w:next w:val="Standard"/>
    <w:qFormat/>
    <w:rsid w:val="007835E7"/>
    <w:pPr>
      <w:keepNext/>
      <w:spacing w:after="120"/>
      <w:outlineLvl w:val="5"/>
    </w:pPr>
    <w:rPr>
      <w:b/>
      <w:sz w:val="20"/>
      <w:u w:val="single"/>
    </w:rPr>
  </w:style>
  <w:style w:type="paragraph" w:styleId="berschrift7">
    <w:name w:val="heading 7"/>
    <w:basedOn w:val="Standard"/>
    <w:next w:val="Standard"/>
    <w:qFormat/>
    <w:rsid w:val="007835E7"/>
    <w:pPr>
      <w:keepNext/>
      <w:spacing w:line="240" w:lineRule="atLeast"/>
      <w:outlineLvl w:val="6"/>
    </w:pPr>
    <w:rPr>
      <w:i/>
      <w:color w:val="000000"/>
      <w:sz w:val="18"/>
      <w:u w:val="single"/>
    </w:rPr>
  </w:style>
  <w:style w:type="paragraph" w:styleId="berschrift8">
    <w:name w:val="heading 8"/>
    <w:basedOn w:val="Standard"/>
    <w:next w:val="Standard"/>
    <w:qFormat/>
    <w:rsid w:val="007835E7"/>
    <w:pPr>
      <w:keepNext/>
      <w:outlineLvl w:val="7"/>
    </w:pPr>
    <w:rPr>
      <w:u w:val="single"/>
    </w:rPr>
  </w:style>
  <w:style w:type="paragraph" w:styleId="berschrift9">
    <w:name w:val="heading 9"/>
    <w:basedOn w:val="Standard"/>
    <w:next w:val="Standard"/>
    <w:link w:val="berschrift9Zchn"/>
    <w:qFormat/>
    <w:rsid w:val="007835E7"/>
    <w:pPr>
      <w:keepNext/>
      <w:outlineLvl w:val="8"/>
    </w:pPr>
    <w:rPr>
      <w:i/>
      <w:color w:val="000000"/>
      <w:sz w:val="18"/>
      <w:szCs w:val="1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7835E7"/>
    <w:pPr>
      <w:tabs>
        <w:tab w:val="center" w:pos="4536"/>
      </w:tabs>
      <w:jc w:val="center"/>
    </w:pPr>
  </w:style>
  <w:style w:type="paragraph" w:styleId="Standardeinzug">
    <w:name w:val="Normal Indent"/>
    <w:basedOn w:val="berschrift1"/>
    <w:semiHidden/>
    <w:rsid w:val="007835E7"/>
    <w:pPr>
      <w:outlineLvl w:val="9"/>
    </w:pPr>
  </w:style>
  <w:style w:type="paragraph" w:styleId="Titel">
    <w:name w:val="Title"/>
    <w:basedOn w:val="Standard"/>
    <w:qFormat/>
    <w:rsid w:val="007835E7"/>
    <w:pPr>
      <w:tabs>
        <w:tab w:val="center" w:pos="4536"/>
      </w:tabs>
    </w:pPr>
    <w:rPr>
      <w:b/>
      <w:sz w:val="24"/>
    </w:rPr>
  </w:style>
  <w:style w:type="paragraph" w:customStyle="1" w:styleId="Betreff">
    <w:name w:val="Betreff"/>
    <w:basedOn w:val="Standard"/>
    <w:rsid w:val="007835E7"/>
    <w:rPr>
      <w:b/>
    </w:rPr>
  </w:style>
  <w:style w:type="paragraph" w:styleId="Fuzeile">
    <w:name w:val="footer"/>
    <w:basedOn w:val="Standard"/>
    <w:semiHidden/>
    <w:rsid w:val="007835E7"/>
    <w:pPr>
      <w:tabs>
        <w:tab w:val="clear" w:pos="7088"/>
        <w:tab w:val="center" w:pos="4819"/>
        <w:tab w:val="right" w:pos="9071"/>
      </w:tabs>
      <w:spacing w:line="360" w:lineRule="atLeast"/>
    </w:pPr>
    <w:rPr>
      <w:rFonts w:ascii="Helvetica" w:hAnsi="Helvetica"/>
    </w:rPr>
  </w:style>
  <w:style w:type="paragraph" w:styleId="Textkrper">
    <w:name w:val="Body Text"/>
    <w:basedOn w:val="Standard"/>
    <w:semiHidden/>
    <w:rsid w:val="007835E7"/>
    <w:rPr>
      <w:rFonts w:cs="Arial"/>
      <w:color w:val="0000FF"/>
      <w:sz w:val="21"/>
      <w:szCs w:val="21"/>
      <w:lang w:val="de-AT"/>
    </w:rPr>
  </w:style>
  <w:style w:type="paragraph" w:styleId="Textkrper2">
    <w:name w:val="Body Text 2"/>
    <w:basedOn w:val="Standard"/>
    <w:semiHidden/>
    <w:rsid w:val="007835E7"/>
    <w:rPr>
      <w:sz w:val="21"/>
      <w:szCs w:val="21"/>
      <w:lang w:val="de-AT"/>
    </w:rPr>
  </w:style>
  <w:style w:type="paragraph" w:styleId="Textkrper3">
    <w:name w:val="Body Text 3"/>
    <w:basedOn w:val="Standard"/>
    <w:semiHidden/>
    <w:rsid w:val="007835E7"/>
    <w:rPr>
      <w:sz w:val="21"/>
      <w:u w:val="single"/>
      <w:lang w:val="de-AT"/>
    </w:rPr>
  </w:style>
  <w:style w:type="character" w:customStyle="1" w:styleId="FuzeileZchn">
    <w:name w:val="Fußzeile Zchn"/>
    <w:basedOn w:val="Absatz-Standardschriftart"/>
    <w:semiHidden/>
    <w:rsid w:val="007835E7"/>
    <w:rPr>
      <w:rFonts w:ascii="Helvetica" w:hAnsi="Helvetica"/>
      <w:sz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5CE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5CED"/>
    <w:rPr>
      <w:rFonts w:ascii="Tahoma" w:hAnsi="Tahoma" w:cs="Tahoma"/>
      <w:sz w:val="16"/>
      <w:szCs w:val="16"/>
      <w:lang w:val="de-DE"/>
    </w:rPr>
  </w:style>
  <w:style w:type="character" w:styleId="Hyperlink">
    <w:name w:val="Hyperlink"/>
    <w:basedOn w:val="Absatz-Standardschriftart"/>
    <w:uiPriority w:val="99"/>
    <w:unhideWhenUsed/>
    <w:rsid w:val="00AA4569"/>
    <w:rPr>
      <w:color w:val="0000FF" w:themeColor="hyperlink"/>
      <w:u w:val="single"/>
    </w:rPr>
  </w:style>
  <w:style w:type="character" w:customStyle="1" w:styleId="berschrift9Zchn">
    <w:name w:val="Überschrift 9 Zchn"/>
    <w:basedOn w:val="Absatz-Standardschriftart"/>
    <w:link w:val="berschrift9"/>
    <w:rsid w:val="00AA4569"/>
    <w:rPr>
      <w:rFonts w:ascii="Arial" w:hAnsi="Arial"/>
      <w:i/>
      <w:color w:val="000000"/>
      <w:sz w:val="18"/>
      <w:szCs w:val="17"/>
      <w:lang w:val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3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vi.roseneder@umdasch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84E75-E924-40AF-B5E6-88938A7B0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735</Words>
  <Characters>4889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Vorschlag für Doka-Teil des Pressetextes für Pressefrühstück</vt:lpstr>
    </vt:vector>
  </TitlesOfParts>
  <Company>Umdasch AG</Company>
  <LinksUpToDate>false</LinksUpToDate>
  <CharactersWithSpaces>5613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Vorschlag für Doka-Teil des Pressetextes für Pressefrühstück</dc:title>
  <dc:creator>Schweiger</dc:creator>
  <cp:lastModifiedBy>Pessl Wolfgang</cp:lastModifiedBy>
  <cp:revision>6</cp:revision>
  <cp:lastPrinted>2014-06-10T10:46:00Z</cp:lastPrinted>
  <dcterms:created xsi:type="dcterms:W3CDTF">2014-06-10T10:44:00Z</dcterms:created>
  <dcterms:modified xsi:type="dcterms:W3CDTF">2014-06-11T07:06:00Z</dcterms:modified>
</cp:coreProperties>
</file>