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67" w:rsidRPr="005727C6" w:rsidRDefault="00D62E67" w:rsidP="00D62E67">
      <w:pPr>
        <w:pStyle w:val="SubHead"/>
        <w:jc w:val="right"/>
        <w:rPr>
          <w:rFonts w:cs="Arial"/>
          <w:b w:val="0"/>
          <w:sz w:val="20"/>
        </w:rPr>
      </w:pPr>
      <w:r>
        <w:rPr>
          <w:b w:val="0"/>
          <w:sz w:val="20"/>
        </w:rPr>
        <w:t>Amstetten, January 2014</w:t>
      </w:r>
    </w:p>
    <w:p w:rsidR="00D62E67" w:rsidRPr="005727C6" w:rsidRDefault="00D62E67" w:rsidP="00D62E67">
      <w:pPr>
        <w:pStyle w:val="SubHead"/>
        <w:jc w:val="right"/>
        <w:rPr>
          <w:rFonts w:cs="Arial"/>
          <w:b w:val="0"/>
          <w:szCs w:val="22"/>
        </w:rPr>
      </w:pPr>
    </w:p>
    <w:p w:rsidR="00D62E67" w:rsidRPr="005727C6" w:rsidRDefault="00D62E67" w:rsidP="00D62E67">
      <w:pPr>
        <w:pStyle w:val="SubHead"/>
        <w:jc w:val="right"/>
        <w:rPr>
          <w:rFonts w:cs="Arial"/>
          <w:b w:val="0"/>
          <w:szCs w:val="22"/>
        </w:rPr>
      </w:pPr>
    </w:p>
    <w:p w:rsidR="00D62E67" w:rsidRPr="005727C6" w:rsidRDefault="00D62E67" w:rsidP="00D62E67">
      <w:pPr>
        <w:pStyle w:val="SubHead"/>
        <w:jc w:val="center"/>
        <w:rPr>
          <w:rFonts w:cs="Arial"/>
          <w:szCs w:val="22"/>
        </w:rPr>
      </w:pPr>
      <w:r>
        <w:t>Press release</w:t>
      </w:r>
    </w:p>
    <w:p w:rsidR="00D62E67" w:rsidRPr="005727C6" w:rsidRDefault="00D62E67" w:rsidP="00D62E67">
      <w:pPr>
        <w:pStyle w:val="SubHead"/>
        <w:rPr>
          <w:rFonts w:cs="Arial"/>
          <w:szCs w:val="22"/>
        </w:rPr>
      </w:pPr>
    </w:p>
    <w:p w:rsidR="00D62E67" w:rsidRPr="005727C6" w:rsidRDefault="00D62E67" w:rsidP="00D62E67">
      <w:pPr>
        <w:pStyle w:val="SubHead"/>
        <w:rPr>
          <w:rFonts w:cs="Arial"/>
          <w:szCs w:val="22"/>
        </w:rPr>
      </w:pPr>
    </w:p>
    <w:p w:rsidR="0052410F" w:rsidRPr="005727C6" w:rsidRDefault="00F25031" w:rsidP="005727C6">
      <w:pPr>
        <w:rPr>
          <w:b/>
          <w:color w:val="000000"/>
          <w:sz w:val="32"/>
          <w:szCs w:val="32"/>
        </w:rPr>
      </w:pPr>
      <w:r>
        <w:rPr>
          <w:b/>
          <w:sz w:val="32"/>
        </w:rPr>
        <w:t xml:space="preserve">Corridor Vc: High-performing wagon for high speed </w:t>
      </w:r>
    </w:p>
    <w:p w:rsidR="00574722" w:rsidRPr="00E02635" w:rsidRDefault="00574722" w:rsidP="002856EB">
      <w:pPr>
        <w:pStyle w:val="Einleitung"/>
        <w:spacing w:line="264" w:lineRule="auto"/>
        <w:rPr>
          <w:rFonts w:cs="Arial"/>
          <w:color w:val="000000"/>
          <w:szCs w:val="22"/>
        </w:rPr>
      </w:pPr>
      <w:bookmarkStart w:id="0" w:name="Editing"/>
      <w:bookmarkEnd w:id="0"/>
    </w:p>
    <w:p w:rsidR="009A79E7" w:rsidRPr="00E02635" w:rsidRDefault="00DE045B" w:rsidP="002856EB">
      <w:pPr>
        <w:spacing w:line="264" w:lineRule="auto"/>
        <w:rPr>
          <w:rFonts w:cs="Arial"/>
          <w:b/>
          <w:bCs/>
          <w:color w:val="000000"/>
          <w:szCs w:val="22"/>
        </w:rPr>
      </w:pPr>
      <w:r>
        <w:rPr>
          <w:b/>
        </w:rPr>
        <w:t xml:space="preserve">In the future, travelling between Budapest and Southern Dalmatia will take less time thanks to the Pan-European Corridor Vc. Numerous tunnels and bridges are erected along the 397 km route through Bosnia owing to the difficult topography. Doka's contribution to the infrastructure initiative is a formwork solution including a total of ten Cantilever forming travellers for the </w:t>
      </w:r>
      <w:r>
        <w:rPr>
          <w:b/>
          <w:color w:val="000000"/>
        </w:rPr>
        <w:t>Studenčica</w:t>
      </w:r>
      <w:r>
        <w:rPr>
          <w:b/>
        </w:rPr>
        <w:t xml:space="preserve"> and Trebižat bridges crossing the valleys. </w:t>
      </w:r>
    </w:p>
    <w:p w:rsidR="00E36F01" w:rsidRPr="00E02635" w:rsidRDefault="00E36F01" w:rsidP="002856EB">
      <w:pPr>
        <w:spacing w:line="264" w:lineRule="auto"/>
        <w:rPr>
          <w:rFonts w:cs="Arial"/>
          <w:bCs/>
          <w:color w:val="000000"/>
          <w:szCs w:val="22"/>
        </w:rPr>
      </w:pPr>
    </w:p>
    <w:p w:rsidR="00D038F8" w:rsidRPr="00E02635" w:rsidRDefault="00847C94" w:rsidP="002856EB">
      <w:pPr>
        <w:spacing w:line="264" w:lineRule="auto"/>
        <w:rPr>
          <w:rFonts w:cs="Arial"/>
          <w:szCs w:val="22"/>
        </w:rPr>
      </w:pPr>
      <w:r>
        <w:t xml:space="preserve">Altogether the European route 73 is about 702 km long. A1 is an important section of this route in Bosnia-Herzegovina connecting the northern border to the Adriatic by way of Zenica – Sarajevo – Mostar. The two bridges, </w:t>
      </w:r>
      <w:r>
        <w:rPr>
          <w:color w:val="000000"/>
        </w:rPr>
        <w:t>Studenčica</w:t>
      </w:r>
      <w:r>
        <w:t xml:space="preserve"> and Trebižat, are intended to connect the valleys near the municipality of Čapljina. Hering, subcontractor of OHL, the Spanish construction company, will benefit primarily from the extended pouring sections of the Doka-Cantilever forming traveller that will reduce construction time by about eight weeks. Decisive factors for awarding the contract to Doka Croatia were many joint projects, high-performing systems as well as the ability to rent the formwork materials. </w:t>
      </w:r>
    </w:p>
    <w:p w:rsidR="00D038F8" w:rsidRPr="00E02635" w:rsidRDefault="00D038F8" w:rsidP="002856EB">
      <w:pPr>
        <w:spacing w:line="264" w:lineRule="auto"/>
        <w:rPr>
          <w:rFonts w:cs="Arial"/>
          <w:szCs w:val="22"/>
        </w:rPr>
      </w:pPr>
    </w:p>
    <w:p w:rsidR="009813FE" w:rsidRPr="00E36493" w:rsidRDefault="009813FE" w:rsidP="009813FE">
      <w:pPr>
        <w:spacing w:line="264" w:lineRule="auto"/>
      </w:pPr>
      <w:r>
        <w:t xml:space="preserve">With a stretch of 555 m in length from one abutment to the other and maximum height of </w:t>
      </w:r>
      <w:r w:rsidR="00E36493">
        <w:t>81°</w:t>
      </w:r>
      <w:r>
        <w:t xml:space="preserve">m above the valley, </w:t>
      </w:r>
      <w:r>
        <w:rPr>
          <w:color w:val="000000"/>
        </w:rPr>
        <w:t>Studenčica</w:t>
      </w:r>
      <w:r>
        <w:t xml:space="preserve"> is the longer and higher of the two bridges. Four superstructures, each 12.4 m wide and placed at a distance of 120 m from the other, are established on a total of five piers. At a total length of 365 m and 59.5 m maximum height, Trebižat, the smaller pendant requires only three piers. Doka developed a safe and fast formwork solution consisting of Cantilever forming travellers. A total of ten rentable Cantilever forming travellers, eight of them on the </w:t>
      </w:r>
      <w:r>
        <w:rPr>
          <w:color w:val="000000"/>
        </w:rPr>
        <w:t>Studenčica</w:t>
      </w:r>
      <w:r>
        <w:t xml:space="preserve"> Bridge and two on the Trebižat Bridge, are making for smooth and rapid progress at lofty heights. </w:t>
      </w:r>
    </w:p>
    <w:p w:rsidR="009813FE" w:rsidRDefault="009813FE" w:rsidP="009813FE">
      <w:pPr>
        <w:spacing w:line="264" w:lineRule="auto"/>
        <w:rPr>
          <w:rFonts w:cs="Arial"/>
          <w:szCs w:val="22"/>
        </w:rPr>
      </w:pPr>
    </w:p>
    <w:p w:rsidR="003C2B9F" w:rsidRPr="00E02635" w:rsidRDefault="00777C84" w:rsidP="002856EB">
      <w:pPr>
        <w:pStyle w:val="Einleitung"/>
        <w:spacing w:line="264" w:lineRule="auto"/>
        <w:rPr>
          <w:szCs w:val="22"/>
        </w:rPr>
      </w:pPr>
      <w:r>
        <w:t>First upward, then straight ahead</w:t>
      </w:r>
    </w:p>
    <w:p w:rsidR="009C4886" w:rsidRDefault="00D256A0" w:rsidP="002856EB">
      <w:pPr>
        <w:spacing w:line="264" w:lineRule="auto"/>
        <w:rPr>
          <w:rFonts w:cs="Arial"/>
          <w:szCs w:val="22"/>
        </w:rPr>
      </w:pPr>
      <w:r>
        <w:t xml:space="preserve">High-performing Cantilever forming travellers allow for pouring of 5 m segments in a weekly cycle. In the Corridor Vc project, completely identical Forming wagons designed for 250 t carry maximum loads of 196.5 t. "These extended 5 m pouring segments reduce the number of segments and coupling joints and therefore save time and money", says Project Manager Mario Jurisic. </w:t>
      </w:r>
    </w:p>
    <w:p w:rsidR="009C4886" w:rsidRDefault="009C4886" w:rsidP="002856EB">
      <w:pPr>
        <w:spacing w:line="264" w:lineRule="auto"/>
        <w:rPr>
          <w:rFonts w:cs="Arial"/>
          <w:szCs w:val="22"/>
        </w:rPr>
      </w:pPr>
    </w:p>
    <w:p w:rsidR="005861CF" w:rsidRDefault="004557D5" w:rsidP="002856EB">
      <w:pPr>
        <w:spacing w:line="264" w:lineRule="auto"/>
        <w:rPr>
          <w:rFonts w:cs="Arial"/>
          <w:szCs w:val="22"/>
        </w:rPr>
      </w:pPr>
      <w:r>
        <w:t>The suggestion by both, the Business Develop</w:t>
      </w:r>
      <w:r w:rsidR="004F0AF6">
        <w:t>ment and Bridge Competence Cent</w:t>
      </w:r>
      <w:r>
        <w:t>e</w:t>
      </w:r>
      <w:r w:rsidR="004F0AF6">
        <w:t>r</w:t>
      </w:r>
      <w:r>
        <w:t xml:space="preserve">s, to extend the pouring segment to 5 m facilitates completion with eight fewer segments thanks to the high-performing Cantilever forming travellers. In the case of a weekly cycle, this means the project is completed eight weeks ahead of time. </w:t>
      </w:r>
    </w:p>
    <w:p w:rsidR="005861CF" w:rsidRDefault="005861CF" w:rsidP="002856EB">
      <w:pPr>
        <w:spacing w:line="264" w:lineRule="auto"/>
        <w:rPr>
          <w:rFonts w:cs="Arial"/>
          <w:szCs w:val="22"/>
        </w:rPr>
      </w:pPr>
    </w:p>
    <w:p w:rsidR="00B84C6D" w:rsidRDefault="002A29BA" w:rsidP="002856EB">
      <w:pPr>
        <w:spacing w:line="264" w:lineRule="auto"/>
        <w:rPr>
          <w:rFonts w:cs="Arial"/>
          <w:szCs w:val="22"/>
        </w:rPr>
      </w:pPr>
      <w:r>
        <w:t xml:space="preserve">By changing the cross slope and tapering the walls of the superstructures each segment was planned individually, thereby eliminating the need to adapt the formwork. Special installation </w:t>
      </w:r>
      <w:r>
        <w:lastRenderedPageBreak/>
        <w:t xml:space="preserve">of pieces made-to-measure and a custom solution with re-usable removable elements in the interior formwork prevent loss of large quantities of materials. This system facilitates a height adjustment of the Cantilever forming traveller's interior formwork especially for the cross slope change. </w:t>
      </w:r>
    </w:p>
    <w:p w:rsidR="00C70AC1" w:rsidRDefault="00C70AC1" w:rsidP="002856EB">
      <w:pPr>
        <w:spacing w:line="264" w:lineRule="auto"/>
        <w:rPr>
          <w:rFonts w:cs="Arial"/>
          <w:szCs w:val="22"/>
        </w:rPr>
      </w:pPr>
    </w:p>
    <w:p w:rsidR="00F96E2B" w:rsidRDefault="00D70F3F" w:rsidP="002856EB">
      <w:pPr>
        <w:spacing w:line="264" w:lineRule="auto"/>
        <w:rPr>
          <w:rFonts w:cs="Arial"/>
          <w:b/>
          <w:szCs w:val="22"/>
        </w:rPr>
      </w:pPr>
      <w:r>
        <w:rPr>
          <w:b/>
        </w:rPr>
        <w:t>Tough as nails at the limit</w:t>
      </w:r>
    </w:p>
    <w:p w:rsidR="009813FE" w:rsidRDefault="009813FE" w:rsidP="002856EB">
      <w:pPr>
        <w:spacing w:line="264" w:lineRule="auto"/>
        <w:rPr>
          <w:rFonts w:cs="Arial"/>
          <w:szCs w:val="22"/>
        </w:rPr>
      </w:pPr>
      <w:r>
        <w:t>Doka materials came into play for the piers as well. Columns were constructed with the help of the crane-lifted Climbing formwork MF240 and Framed formwork Framax Xlife. With hammerheads high-performing Supporting construction frames were used horizontally. Doka Croatia in cooperation w</w:t>
      </w:r>
      <w:r w:rsidR="004F0AF6">
        <w:t>ith the Bridge Competence Center</w:t>
      </w:r>
      <w:r>
        <w:t xml:space="preserve"> demonstrated planning precision as well as creativity in order to get the Forming wagons into position at a height of 81 m. Parts of a gantry crane placed on the formwork lifted the Cantilever forming traveller's floor grate a bit at a time. The floor piece usually raised by its own winches at the Cantilever forming traveller can only be connected to the formwork once it is on the hammerhead. A Doka Formwork instructor on site ensures correct set-up and optimised use of the materials.</w:t>
      </w:r>
    </w:p>
    <w:p w:rsidR="009813FE" w:rsidRDefault="009813FE" w:rsidP="002856EB">
      <w:pPr>
        <w:spacing w:line="264" w:lineRule="auto"/>
        <w:rPr>
          <w:rFonts w:cs="Arial"/>
          <w:szCs w:val="22"/>
        </w:rPr>
      </w:pPr>
    </w:p>
    <w:p w:rsidR="00F96E2B" w:rsidRPr="00D70F3F" w:rsidRDefault="00D70F3F" w:rsidP="002856EB">
      <w:pPr>
        <w:spacing w:line="264" w:lineRule="auto"/>
        <w:rPr>
          <w:rFonts w:cs="Arial"/>
          <w:szCs w:val="22"/>
        </w:rPr>
      </w:pPr>
      <w:r>
        <w:t>Limited workspace on the hammerheads with dimensions of 8 m in length called for a</w:t>
      </w:r>
      <w:r w:rsidR="004F0AF6">
        <w:t xml:space="preserve"> special solution. Whereas the f</w:t>
      </w:r>
      <w:r>
        <w:t xml:space="preserve">orming wagons weighing approximately 80 t start moving symmetrically in two directions with the cantilever forming principle, Doka's structural engineers figured out a fine-grained custom solution for this project. Thanks to the exact calculations, one of the Cantilever forming travellers will first start off from the hammerhead. Then enough space is available for hitching the second traveller to it and offset the balancing act. In order to get around the lifting procedure, the Cantilever forming travellers will return once the width of a span has been completed; they are then repositioned and used again for the next pier. </w:t>
      </w:r>
    </w:p>
    <w:p w:rsidR="00F96E2B" w:rsidRDefault="00F96E2B" w:rsidP="002856EB">
      <w:pPr>
        <w:spacing w:line="264" w:lineRule="auto"/>
        <w:rPr>
          <w:rFonts w:cs="Arial"/>
          <w:b/>
          <w:szCs w:val="22"/>
        </w:rPr>
      </w:pPr>
    </w:p>
    <w:p w:rsidR="004B40E5" w:rsidRPr="00F96E2B" w:rsidRDefault="004B40E5" w:rsidP="002856EB">
      <w:pPr>
        <w:spacing w:line="264" w:lineRule="auto"/>
        <w:rPr>
          <w:rFonts w:cs="Arial"/>
          <w:b/>
          <w:szCs w:val="22"/>
        </w:rPr>
      </w:pPr>
      <w:r>
        <w:rPr>
          <w:b/>
        </w:rPr>
        <w:t>Cross-border cooperation</w:t>
      </w:r>
    </w:p>
    <w:p w:rsidR="007E11C8" w:rsidRPr="00C70AC1" w:rsidRDefault="00BB4034" w:rsidP="002856EB">
      <w:pPr>
        <w:spacing w:line="264" w:lineRule="auto"/>
        <w:rPr>
          <w:rFonts w:cs="Arial"/>
        </w:rPr>
      </w:pPr>
      <w:r>
        <w:t>The Forming wagon is fully equipped with secured platforms, safe Access systems and access to all places on the Forming wagon where work is done. This allows for safe progress even at lofty heights. In addition to fine-grained Formwo</w:t>
      </w:r>
      <w:r w:rsidR="004F0AF6">
        <w:t>rk planning carried out by the t</w:t>
      </w:r>
      <w:r>
        <w:t>eams at the Bridge and Busin</w:t>
      </w:r>
      <w:r w:rsidR="004F0AF6">
        <w:t>ess Development Competence Cent</w:t>
      </w:r>
      <w:r>
        <w:t>e</w:t>
      </w:r>
      <w:r w:rsidR="004F0AF6">
        <w:t>r</w:t>
      </w:r>
      <w:r>
        <w:t xml:space="preserve">s ahead of time, local engineers aid in smooth construction progress on site. "We have been working with Doka for many years. In spite of initial construction delays we were able to finish on schedule once again thanks to our reliable partnership", so Project Manager </w:t>
      </w:r>
      <w:r>
        <w:rPr>
          <w:color w:val="000000"/>
        </w:rPr>
        <w:t>Mario Jurisic</w:t>
      </w:r>
      <w:r>
        <w:t xml:space="preserve">. </w:t>
      </w:r>
    </w:p>
    <w:p w:rsidR="007E11C8" w:rsidRDefault="007E11C8" w:rsidP="002856EB">
      <w:pPr>
        <w:spacing w:line="264" w:lineRule="auto"/>
        <w:rPr>
          <w:rFonts w:cs="Arial"/>
          <w:b/>
        </w:rPr>
      </w:pPr>
    </w:p>
    <w:p w:rsidR="008665E0" w:rsidRDefault="008665E0">
      <w:pPr>
        <w:overflowPunct/>
        <w:autoSpaceDE/>
        <w:autoSpaceDN/>
        <w:adjustRightInd/>
        <w:textAlignment w:val="auto"/>
        <w:rPr>
          <w:rFonts w:cs="Arial"/>
          <w:b/>
        </w:rPr>
      </w:pPr>
      <w:r>
        <w:br w:type="page"/>
      </w:r>
    </w:p>
    <w:p w:rsidR="00D038F8" w:rsidRDefault="00E36493" w:rsidP="002856EB">
      <w:pPr>
        <w:spacing w:line="264" w:lineRule="auto"/>
        <w:rPr>
          <w:rFonts w:cs="Arial"/>
          <w:b/>
        </w:rPr>
      </w:pPr>
      <w:r>
        <w:rPr>
          <w:b/>
        </w:rPr>
        <w:lastRenderedPageBreak/>
        <w:t>In brief</w:t>
      </w:r>
    </w:p>
    <w:p w:rsidR="00D038F8" w:rsidRDefault="00D038F8" w:rsidP="002856EB">
      <w:pPr>
        <w:spacing w:line="264" w:lineRule="auto"/>
        <w:rPr>
          <w:rFonts w:cs="Arial"/>
          <w:b/>
        </w:rPr>
      </w:pPr>
    </w:p>
    <w:p w:rsidR="00D038F8" w:rsidRDefault="008665E0" w:rsidP="002856EB">
      <w:pPr>
        <w:spacing w:line="264" w:lineRule="auto"/>
        <w:rPr>
          <w:rFonts w:cs="Arial"/>
          <w:b/>
        </w:rPr>
      </w:pPr>
      <w:r>
        <w:rPr>
          <w:b/>
        </w:rPr>
        <w:t>Corridor Vc</w:t>
      </w:r>
    </w:p>
    <w:p w:rsidR="00D038F8" w:rsidRDefault="00D038F8" w:rsidP="002856EB">
      <w:pPr>
        <w:spacing w:line="264" w:lineRule="auto"/>
        <w:rPr>
          <w:rFonts w:cs="Arial"/>
          <w:b/>
        </w:rPr>
      </w:pPr>
    </w:p>
    <w:p w:rsidR="00AF5DA7" w:rsidRDefault="00D038F8" w:rsidP="002856EB">
      <w:pPr>
        <w:spacing w:line="264" w:lineRule="auto"/>
        <w:rPr>
          <w:rFonts w:cs="Arial"/>
          <w:szCs w:val="22"/>
        </w:rPr>
      </w:pPr>
      <w:r>
        <w:t>Location:</w:t>
      </w:r>
      <w:r>
        <w:tab/>
      </w:r>
      <w:r>
        <w:tab/>
      </w:r>
      <w:r>
        <w:tab/>
        <w:t xml:space="preserve">Čapljina, Bosnia-Herzegovina </w:t>
      </w:r>
    </w:p>
    <w:p w:rsidR="00D038F8" w:rsidRDefault="00D038F8" w:rsidP="002856EB">
      <w:pPr>
        <w:spacing w:line="264" w:lineRule="auto"/>
        <w:rPr>
          <w:rFonts w:cs="Arial"/>
        </w:rPr>
      </w:pPr>
      <w:r>
        <w:t>Construction company:</w:t>
      </w:r>
      <w:r>
        <w:tab/>
        <w:t>Hering (OHL sub-contractor)</w:t>
      </w:r>
    </w:p>
    <w:p w:rsidR="00D038F8" w:rsidRDefault="00D038F8" w:rsidP="002856EB">
      <w:pPr>
        <w:spacing w:line="264" w:lineRule="auto"/>
        <w:rPr>
          <w:rFonts w:cs="Arial"/>
        </w:rPr>
      </w:pPr>
      <w:r>
        <w:t>Construction start:</w:t>
      </w:r>
      <w:r>
        <w:tab/>
      </w:r>
      <w:r>
        <w:tab/>
        <w:t>May 2013</w:t>
      </w:r>
    </w:p>
    <w:p w:rsidR="00D038F8" w:rsidRDefault="00D038F8" w:rsidP="002856EB">
      <w:pPr>
        <w:spacing w:line="264" w:lineRule="auto"/>
        <w:rPr>
          <w:rFonts w:cs="Arial"/>
        </w:rPr>
      </w:pPr>
      <w:r>
        <w:t>Scheduled completion:</w:t>
      </w:r>
      <w:r>
        <w:tab/>
        <w:t>March 2014</w:t>
      </w:r>
    </w:p>
    <w:p w:rsidR="00D038F8" w:rsidRDefault="004B40E5" w:rsidP="002856EB">
      <w:pPr>
        <w:spacing w:line="264" w:lineRule="auto"/>
        <w:rPr>
          <w:rFonts w:cs="Arial"/>
        </w:rPr>
      </w:pPr>
      <w:r>
        <w:t>Type of structure:</w:t>
      </w:r>
      <w:r>
        <w:tab/>
      </w:r>
      <w:r>
        <w:tab/>
        <w:t>Bridges</w:t>
      </w:r>
    </w:p>
    <w:p w:rsidR="00D038F8" w:rsidRDefault="00E36493" w:rsidP="002856EB">
      <w:pPr>
        <w:spacing w:line="264" w:lineRule="auto"/>
        <w:ind w:left="2880" w:hanging="2880"/>
        <w:rPr>
          <w:rFonts w:cs="Arial"/>
        </w:rPr>
      </w:pPr>
      <w:r>
        <w:t>Systems in use</w:t>
      </w:r>
      <w:r w:rsidR="00593D62">
        <w:t>:</w:t>
      </w:r>
      <w:r w:rsidR="00593D62">
        <w:tab/>
        <w:t>Products: Cantilever forming travellers, Load-bearing tower Staxo</w:t>
      </w:r>
    </w:p>
    <w:p w:rsidR="008665E0" w:rsidRDefault="008665E0" w:rsidP="002856EB">
      <w:pPr>
        <w:spacing w:line="264" w:lineRule="auto"/>
        <w:ind w:left="2880" w:hanging="2880"/>
      </w:pPr>
      <w:r>
        <w:tab/>
        <w:t>Services: Formwork planning, Formwork instructor service</w:t>
      </w:r>
    </w:p>
    <w:p w:rsidR="00D038F8" w:rsidRPr="002856EB" w:rsidRDefault="00D038F8" w:rsidP="002856EB">
      <w:pPr>
        <w:rPr>
          <w:sz w:val="20"/>
        </w:rPr>
      </w:pPr>
    </w:p>
    <w:p w:rsidR="00783739" w:rsidRPr="002856EB" w:rsidRDefault="00783739" w:rsidP="002856EB">
      <w:pPr>
        <w:rPr>
          <w:sz w:val="20"/>
        </w:rPr>
      </w:pPr>
    </w:p>
    <w:p w:rsidR="004F0AF6" w:rsidRPr="00F52C7E" w:rsidRDefault="004F0AF6" w:rsidP="004F0AF6">
      <w:pPr>
        <w:rPr>
          <w:rFonts w:cs="Arial"/>
          <w:b/>
          <w:sz w:val="20"/>
        </w:rPr>
      </w:pPr>
      <w:r>
        <w:rPr>
          <w:b/>
          <w:sz w:val="20"/>
        </w:rPr>
        <w:t>About Doka:</w:t>
      </w:r>
    </w:p>
    <w:p w:rsidR="004F0AF6" w:rsidRPr="000902FF" w:rsidRDefault="004F0AF6" w:rsidP="004F0AF6">
      <w:pPr>
        <w:rPr>
          <w:rFonts w:cs="Arial"/>
          <w:sz w:val="20"/>
        </w:rPr>
      </w:pPr>
      <w:r w:rsidRPr="000902FF">
        <w:rPr>
          <w:rFonts w:cs="Arial"/>
          <w:sz w:val="20"/>
        </w:rPr>
        <w:t>Doka is a world leader in developing, manufacturing and distributing formwork technology for use in all fields of the construction sector. With more than 160 sales and logistics facilities in over 70 countries, the Doka Group has a highly efficient distribution network which ensures that equipment and technical support are provided swiftly and professionally. An enterprise forming part of the Umdasch Group, the Doka Group employs a worldwide workforce of more than 6000.</w:t>
      </w:r>
    </w:p>
    <w:p w:rsidR="004F0AF6" w:rsidRPr="000902FF" w:rsidRDefault="004F0AF6" w:rsidP="004F0AF6">
      <w:pPr>
        <w:rPr>
          <w:rFonts w:cs="Arial"/>
          <w:sz w:val="20"/>
        </w:rPr>
      </w:pPr>
    </w:p>
    <w:p w:rsidR="004F0AF6" w:rsidRPr="000902FF" w:rsidRDefault="004F0AF6" w:rsidP="004F0AF6">
      <w:pPr>
        <w:rPr>
          <w:rFonts w:cs="Arial"/>
          <w:sz w:val="20"/>
        </w:rPr>
      </w:pPr>
    </w:p>
    <w:p w:rsidR="004F0AF6" w:rsidRPr="000902FF" w:rsidRDefault="004F0AF6" w:rsidP="004F0AF6">
      <w:pPr>
        <w:rPr>
          <w:rFonts w:cs="Arial"/>
          <w:b/>
          <w:sz w:val="20"/>
        </w:rPr>
      </w:pPr>
      <w:r w:rsidRPr="000902FF">
        <w:rPr>
          <w:rFonts w:cs="Arial"/>
          <w:b/>
          <w:sz w:val="20"/>
        </w:rPr>
        <w:t>Press Contact:</w:t>
      </w:r>
    </w:p>
    <w:p w:rsidR="004F0AF6" w:rsidRPr="000902FF" w:rsidRDefault="004F0AF6" w:rsidP="004F0AF6">
      <w:pPr>
        <w:rPr>
          <w:rFonts w:cs="Arial"/>
          <w:sz w:val="20"/>
        </w:rPr>
      </w:pPr>
      <w:r w:rsidRPr="000902FF">
        <w:rPr>
          <w:rFonts w:cs="Arial"/>
          <w:sz w:val="20"/>
        </w:rPr>
        <w:t>Jürgen Reimann</w:t>
      </w:r>
    </w:p>
    <w:p w:rsidR="004F0AF6" w:rsidRPr="000902FF" w:rsidRDefault="004F0AF6" w:rsidP="004F0AF6">
      <w:pPr>
        <w:rPr>
          <w:rFonts w:cs="Arial"/>
          <w:sz w:val="20"/>
        </w:rPr>
      </w:pPr>
      <w:r w:rsidRPr="000902FF">
        <w:rPr>
          <w:rFonts w:cs="Arial"/>
          <w:sz w:val="20"/>
        </w:rPr>
        <w:t>Head of Public Relations &amp; Communications</w:t>
      </w:r>
    </w:p>
    <w:p w:rsidR="004F0AF6" w:rsidRPr="000902FF" w:rsidRDefault="004F0AF6" w:rsidP="004F0AF6">
      <w:pPr>
        <w:rPr>
          <w:rFonts w:cs="Arial"/>
          <w:sz w:val="20"/>
        </w:rPr>
      </w:pPr>
      <w:r>
        <w:rPr>
          <w:rFonts w:cs="Arial"/>
          <w:sz w:val="20"/>
        </w:rPr>
        <w:t>Press Officer</w:t>
      </w:r>
      <w:r w:rsidRPr="000902FF">
        <w:rPr>
          <w:rFonts w:cs="Arial"/>
          <w:sz w:val="20"/>
        </w:rPr>
        <w:t xml:space="preserve"> Doka Group</w:t>
      </w:r>
    </w:p>
    <w:p w:rsidR="004F0AF6" w:rsidRPr="00E36493" w:rsidRDefault="004F0AF6" w:rsidP="004F0AF6">
      <w:pPr>
        <w:rPr>
          <w:rFonts w:cs="Arial"/>
          <w:sz w:val="20"/>
          <w:lang w:val="de-DE"/>
        </w:rPr>
      </w:pPr>
      <w:r w:rsidRPr="00E36493">
        <w:rPr>
          <w:rFonts w:cs="Arial"/>
          <w:sz w:val="20"/>
          <w:lang w:val="de-DE"/>
        </w:rPr>
        <w:t>Josef Umdasch Platz 1, A 3300 Amstetten, Austria</w:t>
      </w:r>
    </w:p>
    <w:p w:rsidR="004F0AF6" w:rsidRPr="000902FF" w:rsidRDefault="004F0AF6" w:rsidP="004F0AF6">
      <w:pPr>
        <w:rPr>
          <w:rFonts w:cs="Arial"/>
          <w:sz w:val="20"/>
        </w:rPr>
      </w:pPr>
      <w:r w:rsidRPr="000902FF">
        <w:rPr>
          <w:rFonts w:cs="Arial"/>
          <w:sz w:val="20"/>
        </w:rPr>
        <w:t>Tel.: +43 7472 605-2278</w:t>
      </w:r>
    </w:p>
    <w:p w:rsidR="004F0AF6" w:rsidRPr="00E36493" w:rsidRDefault="004F0AF6" w:rsidP="004F0AF6">
      <w:pPr>
        <w:rPr>
          <w:rFonts w:cs="Arial"/>
          <w:sz w:val="20"/>
          <w:lang w:val="pt-BR"/>
        </w:rPr>
      </w:pPr>
      <w:r w:rsidRPr="00E36493">
        <w:rPr>
          <w:rFonts w:cs="Arial"/>
          <w:sz w:val="20"/>
          <w:lang w:val="pt-BR"/>
        </w:rPr>
        <w:t>e-mail: juergen.reimann@doka.com</w:t>
      </w:r>
    </w:p>
    <w:p w:rsidR="004F0AF6" w:rsidRPr="000902FF" w:rsidRDefault="004F0AF6" w:rsidP="004F0AF6">
      <w:pPr>
        <w:rPr>
          <w:rFonts w:cs="Arial"/>
          <w:sz w:val="20"/>
        </w:rPr>
      </w:pPr>
      <w:r w:rsidRPr="000902FF">
        <w:rPr>
          <w:rFonts w:cs="Arial"/>
          <w:sz w:val="20"/>
        </w:rPr>
        <w:t>Web: www.doka.com</w:t>
      </w:r>
    </w:p>
    <w:p w:rsidR="00574722" w:rsidRPr="002856EB" w:rsidRDefault="00574722" w:rsidP="002856EB">
      <w:pPr>
        <w:rPr>
          <w:rFonts w:cs="Arial"/>
          <w:sz w:val="20"/>
        </w:rPr>
      </w:pPr>
    </w:p>
    <w:p w:rsidR="00783739" w:rsidRPr="002856EB" w:rsidRDefault="00783739" w:rsidP="002856EB">
      <w:pPr>
        <w:rPr>
          <w:rFonts w:cs="Arial"/>
          <w:sz w:val="20"/>
        </w:rPr>
      </w:pPr>
    </w:p>
    <w:p w:rsidR="00D038F8" w:rsidRPr="002856EB" w:rsidRDefault="00783739" w:rsidP="002856EB">
      <w:pPr>
        <w:rPr>
          <w:rFonts w:cs="Arial"/>
          <w:b/>
          <w:sz w:val="20"/>
        </w:rPr>
      </w:pPr>
      <w:r>
        <w:rPr>
          <w:b/>
          <w:sz w:val="20"/>
        </w:rPr>
        <w:t>Captions:</w:t>
      </w:r>
    </w:p>
    <w:p w:rsidR="00D038F8" w:rsidRPr="002856EB" w:rsidRDefault="00D038F8" w:rsidP="002856EB">
      <w:pPr>
        <w:rPr>
          <w:rFonts w:cs="Arial"/>
          <w:sz w:val="20"/>
        </w:rPr>
      </w:pPr>
    </w:p>
    <w:p w:rsidR="00D038F8" w:rsidRPr="002856EB" w:rsidRDefault="00E36493" w:rsidP="002856EB">
      <w:pPr>
        <w:pStyle w:val="Bildunterschrift"/>
        <w:spacing w:before="0"/>
        <w:rPr>
          <w:sz w:val="20"/>
        </w:rPr>
      </w:pPr>
      <w:r>
        <w:rPr>
          <w:sz w:val="20"/>
        </w:rPr>
        <w:t>Doka_2014_01_Korridor-Vc</w:t>
      </w:r>
      <w:r w:rsidR="00D038F8">
        <w:rPr>
          <w:sz w:val="20"/>
        </w:rPr>
        <w:t>_IMG_01</w:t>
      </w:r>
    </w:p>
    <w:p w:rsidR="00D038F8" w:rsidRPr="00F25031" w:rsidRDefault="00E76119" w:rsidP="002856EB">
      <w:pPr>
        <w:pStyle w:val="Einleitung"/>
        <w:rPr>
          <w:rFonts w:cs="Arial"/>
          <w:b w:val="0"/>
          <w:bCs w:val="0"/>
          <w:sz w:val="20"/>
        </w:rPr>
      </w:pPr>
      <w:r>
        <w:rPr>
          <w:b w:val="0"/>
          <w:sz w:val="20"/>
        </w:rPr>
        <w:t xml:space="preserve">High-performing at lofty heights: Ten Doka-Cantilever forming travellers allow for rapid and safe construction of both bridges along the Corridor Vc. </w:t>
      </w:r>
    </w:p>
    <w:p w:rsidR="00D038F8" w:rsidRPr="00063941" w:rsidRDefault="00D038F8" w:rsidP="002856EB">
      <w:pPr>
        <w:pStyle w:val="Fotohinweis"/>
        <w:rPr>
          <w:sz w:val="20"/>
          <w:lang w:val="pl-PL"/>
        </w:rPr>
      </w:pPr>
      <w:r w:rsidRPr="00063941">
        <w:rPr>
          <w:sz w:val="20"/>
          <w:lang w:val="pl-PL"/>
        </w:rPr>
        <w:t>Photo: Doka</w:t>
      </w:r>
    </w:p>
    <w:p w:rsidR="004B40E5" w:rsidRPr="00063941" w:rsidRDefault="004B40E5" w:rsidP="002856EB">
      <w:pPr>
        <w:pStyle w:val="Fotohinweis"/>
        <w:rPr>
          <w:sz w:val="20"/>
          <w:lang w:val="pl-PL"/>
        </w:rPr>
      </w:pPr>
    </w:p>
    <w:p w:rsidR="00BC4869" w:rsidRPr="00063941" w:rsidRDefault="00E36493" w:rsidP="00BC4869">
      <w:pPr>
        <w:pStyle w:val="Bildunterschrift"/>
        <w:spacing w:before="0"/>
        <w:rPr>
          <w:sz w:val="20"/>
          <w:lang w:val="pl-PL"/>
        </w:rPr>
      </w:pPr>
      <w:r>
        <w:rPr>
          <w:sz w:val="20"/>
          <w:lang w:val="pl-PL"/>
        </w:rPr>
        <w:t>Doka_2014_01_Korridor-Vc</w:t>
      </w:r>
      <w:r w:rsidR="00BC4869" w:rsidRPr="00063941">
        <w:rPr>
          <w:sz w:val="20"/>
          <w:lang w:val="pl-PL"/>
        </w:rPr>
        <w:t>_IMG_02</w:t>
      </w:r>
    </w:p>
    <w:p w:rsidR="00BC4869" w:rsidRPr="00126E9E" w:rsidRDefault="00126E9E" w:rsidP="00BC4869">
      <w:pPr>
        <w:pStyle w:val="Einleitung"/>
        <w:rPr>
          <w:rFonts w:cs="Arial"/>
          <w:b w:val="0"/>
          <w:bCs w:val="0"/>
          <w:sz w:val="20"/>
        </w:rPr>
      </w:pPr>
      <w:r>
        <w:rPr>
          <w:b w:val="0"/>
          <w:sz w:val="20"/>
        </w:rPr>
        <w:t xml:space="preserve">Both bridges, </w:t>
      </w:r>
      <w:r>
        <w:rPr>
          <w:b w:val="0"/>
          <w:color w:val="000000"/>
          <w:sz w:val="20"/>
        </w:rPr>
        <w:t xml:space="preserve">Studenčica </w:t>
      </w:r>
      <w:r>
        <w:rPr>
          <w:b w:val="0"/>
          <w:sz w:val="20"/>
        </w:rPr>
        <w:t xml:space="preserve">and Trebižat, are part of the new North-South connection along the route through Bosina. </w:t>
      </w:r>
    </w:p>
    <w:p w:rsidR="00BC4869" w:rsidRPr="00063941" w:rsidRDefault="00BC4869" w:rsidP="00BC4869">
      <w:pPr>
        <w:pStyle w:val="Fotohinweis"/>
        <w:rPr>
          <w:sz w:val="20"/>
          <w:lang w:val="pl-PL"/>
        </w:rPr>
      </w:pPr>
      <w:r w:rsidRPr="00063941">
        <w:rPr>
          <w:sz w:val="20"/>
          <w:lang w:val="pl-PL"/>
        </w:rPr>
        <w:t>Photo: Doka</w:t>
      </w:r>
    </w:p>
    <w:p w:rsidR="004B40E5" w:rsidRPr="00063941" w:rsidRDefault="004B40E5" w:rsidP="002856EB">
      <w:pPr>
        <w:pStyle w:val="Fotohinweis"/>
        <w:rPr>
          <w:sz w:val="20"/>
          <w:lang w:val="pl-PL"/>
        </w:rPr>
      </w:pPr>
    </w:p>
    <w:p w:rsidR="00BC4869" w:rsidRPr="00063941" w:rsidRDefault="00E36493" w:rsidP="00BC4869">
      <w:pPr>
        <w:pStyle w:val="Bildunterschrift"/>
        <w:spacing w:before="0"/>
        <w:rPr>
          <w:sz w:val="20"/>
          <w:lang w:val="pl-PL"/>
        </w:rPr>
      </w:pPr>
      <w:r>
        <w:rPr>
          <w:sz w:val="20"/>
          <w:lang w:val="pl-PL"/>
        </w:rPr>
        <w:t>Doka_2014_01_Korridor-Vc</w:t>
      </w:r>
      <w:r w:rsidR="00BC4869" w:rsidRPr="00063941">
        <w:rPr>
          <w:sz w:val="20"/>
          <w:lang w:val="pl-PL"/>
        </w:rPr>
        <w:t>_IMG_03</w:t>
      </w:r>
    </w:p>
    <w:p w:rsidR="00BC4869" w:rsidRPr="00F25031" w:rsidRDefault="00126E9E" w:rsidP="00BC4869">
      <w:pPr>
        <w:pStyle w:val="Einleitung"/>
        <w:rPr>
          <w:rFonts w:cs="Arial"/>
          <w:b w:val="0"/>
          <w:bCs w:val="0"/>
          <w:sz w:val="20"/>
        </w:rPr>
      </w:pPr>
      <w:r>
        <w:rPr>
          <w:b w:val="0"/>
          <w:sz w:val="20"/>
        </w:rPr>
        <w:t xml:space="preserve">For construction of the bridges spanning 555 m and 365 m in length, Doka developed a formwork solution consisting of Cantilever forming travellers that save time and resources thanks to extended pouring sections. </w:t>
      </w:r>
    </w:p>
    <w:p w:rsidR="00BC4869" w:rsidRPr="00063941" w:rsidRDefault="00BC4869" w:rsidP="00BC4869">
      <w:pPr>
        <w:pStyle w:val="Fotohinweis"/>
        <w:rPr>
          <w:sz w:val="20"/>
          <w:lang w:val="pl-PL"/>
        </w:rPr>
      </w:pPr>
      <w:r w:rsidRPr="00063941">
        <w:rPr>
          <w:sz w:val="20"/>
          <w:lang w:val="pl-PL"/>
        </w:rPr>
        <w:t>Photo: Doka</w:t>
      </w:r>
    </w:p>
    <w:p w:rsidR="00BC4869" w:rsidRPr="00063941" w:rsidRDefault="00BC4869" w:rsidP="002856EB">
      <w:pPr>
        <w:pStyle w:val="Fotohinweis"/>
        <w:rPr>
          <w:sz w:val="20"/>
          <w:lang w:val="pl-PL"/>
        </w:rPr>
      </w:pPr>
    </w:p>
    <w:p w:rsidR="00BC4869" w:rsidRPr="00063941" w:rsidRDefault="00E36493" w:rsidP="00BC4869">
      <w:pPr>
        <w:pStyle w:val="Bildunterschrift"/>
        <w:spacing w:before="0"/>
        <w:rPr>
          <w:sz w:val="20"/>
          <w:lang w:val="pl-PL"/>
        </w:rPr>
      </w:pPr>
      <w:r>
        <w:rPr>
          <w:sz w:val="20"/>
          <w:lang w:val="pl-PL"/>
        </w:rPr>
        <w:t>Doka_2014</w:t>
      </w:r>
      <w:r w:rsidR="00BC4869" w:rsidRPr="00063941">
        <w:rPr>
          <w:sz w:val="20"/>
          <w:lang w:val="pl-PL"/>
        </w:rPr>
        <w:t>_</w:t>
      </w:r>
      <w:r>
        <w:rPr>
          <w:sz w:val="20"/>
          <w:lang w:val="pl-PL"/>
        </w:rPr>
        <w:t>0</w:t>
      </w:r>
      <w:r w:rsidR="00BC4869" w:rsidRPr="00063941">
        <w:rPr>
          <w:sz w:val="20"/>
          <w:lang w:val="pl-PL"/>
        </w:rPr>
        <w:t>1_Korridor-V</w:t>
      </w:r>
      <w:r>
        <w:rPr>
          <w:sz w:val="20"/>
          <w:lang w:val="pl-PL"/>
        </w:rPr>
        <w:t>c</w:t>
      </w:r>
      <w:r w:rsidR="00BC4869" w:rsidRPr="00063941">
        <w:rPr>
          <w:sz w:val="20"/>
          <w:lang w:val="pl-PL"/>
        </w:rPr>
        <w:t>_IMG_04</w:t>
      </w:r>
    </w:p>
    <w:p w:rsidR="00BC4869" w:rsidRPr="00F25031" w:rsidRDefault="00126E9E" w:rsidP="00BC4869">
      <w:pPr>
        <w:pStyle w:val="Einleitung"/>
        <w:rPr>
          <w:rFonts w:cs="Arial"/>
          <w:b w:val="0"/>
          <w:bCs w:val="0"/>
          <w:sz w:val="20"/>
        </w:rPr>
      </w:pPr>
      <w:r>
        <w:rPr>
          <w:b w:val="0"/>
          <w:sz w:val="20"/>
        </w:rPr>
        <w:t xml:space="preserve">The total number of ten Doka-Cantilever forming travellers were placed into their correct starting positions with the help of gantry crane parts. </w:t>
      </w:r>
    </w:p>
    <w:p w:rsidR="00BC4869" w:rsidRPr="00F25031" w:rsidRDefault="00BC4869" w:rsidP="002856EB">
      <w:pPr>
        <w:pStyle w:val="Fotohinweis"/>
        <w:rPr>
          <w:sz w:val="20"/>
        </w:rPr>
      </w:pPr>
      <w:r>
        <w:rPr>
          <w:sz w:val="20"/>
        </w:rPr>
        <w:t>Photo: Doka</w:t>
      </w:r>
      <w:bookmarkStart w:id="1" w:name="_GoBack"/>
      <w:bookmarkEnd w:id="1"/>
    </w:p>
    <w:sectPr w:rsidR="00BC4869" w:rsidRPr="00F2503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04" w:rsidRDefault="00363904">
      <w:r>
        <w:separator/>
      </w:r>
    </w:p>
  </w:endnote>
  <w:endnote w:type="continuationSeparator" w:id="0">
    <w:p w:rsidR="00363904" w:rsidRDefault="003639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04" w:rsidRDefault="00363904">
      <w:r>
        <w:separator/>
      </w:r>
    </w:p>
  </w:footnote>
  <w:footnote w:type="continuationSeparator" w:id="0">
    <w:p w:rsidR="00363904" w:rsidRDefault="00363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04" w:rsidRDefault="00363904" w:rsidP="00750B70">
    <w:pPr>
      <w:pStyle w:val="Kopfzeile"/>
      <w:jc w:val="right"/>
    </w:pPr>
    <w:r>
      <w:rPr>
        <w:noProof/>
        <w:lang w:val="en-US" w:eastAsia="en-US" w:bidi="ar-SA"/>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71009"/>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591"/>
    <w:rsid w:val="000251EE"/>
    <w:rsid w:val="00025D17"/>
    <w:rsid w:val="00030363"/>
    <w:rsid w:val="000322F5"/>
    <w:rsid w:val="000352C8"/>
    <w:rsid w:val="000368FB"/>
    <w:rsid w:val="00037630"/>
    <w:rsid w:val="000457D7"/>
    <w:rsid w:val="000476C0"/>
    <w:rsid w:val="0005725D"/>
    <w:rsid w:val="00057DF6"/>
    <w:rsid w:val="0006146F"/>
    <w:rsid w:val="0006158E"/>
    <w:rsid w:val="00063941"/>
    <w:rsid w:val="00063F30"/>
    <w:rsid w:val="00064939"/>
    <w:rsid w:val="00065085"/>
    <w:rsid w:val="00066095"/>
    <w:rsid w:val="0007042D"/>
    <w:rsid w:val="000708CB"/>
    <w:rsid w:val="00072B49"/>
    <w:rsid w:val="00072DE6"/>
    <w:rsid w:val="00073AC8"/>
    <w:rsid w:val="00073B65"/>
    <w:rsid w:val="00076DB5"/>
    <w:rsid w:val="000773D4"/>
    <w:rsid w:val="0007760B"/>
    <w:rsid w:val="0007791A"/>
    <w:rsid w:val="00083CEC"/>
    <w:rsid w:val="0008594B"/>
    <w:rsid w:val="000900B7"/>
    <w:rsid w:val="000904B3"/>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273A"/>
    <w:rsid w:val="000D321B"/>
    <w:rsid w:val="000D3FE3"/>
    <w:rsid w:val="000F0A26"/>
    <w:rsid w:val="000F239F"/>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26E9E"/>
    <w:rsid w:val="001357AC"/>
    <w:rsid w:val="001370DE"/>
    <w:rsid w:val="001377E1"/>
    <w:rsid w:val="001402FA"/>
    <w:rsid w:val="00140D49"/>
    <w:rsid w:val="00141584"/>
    <w:rsid w:val="00141D03"/>
    <w:rsid w:val="00145700"/>
    <w:rsid w:val="0015009A"/>
    <w:rsid w:val="00150745"/>
    <w:rsid w:val="00151116"/>
    <w:rsid w:val="00151123"/>
    <w:rsid w:val="001529C9"/>
    <w:rsid w:val="001532FF"/>
    <w:rsid w:val="0015368E"/>
    <w:rsid w:val="001550EB"/>
    <w:rsid w:val="00157088"/>
    <w:rsid w:val="00161368"/>
    <w:rsid w:val="001629CD"/>
    <w:rsid w:val="00163746"/>
    <w:rsid w:val="00164DE8"/>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2AB9"/>
    <w:rsid w:val="001A3C69"/>
    <w:rsid w:val="001A62EB"/>
    <w:rsid w:val="001A7BB7"/>
    <w:rsid w:val="001B24D6"/>
    <w:rsid w:val="001B2E0E"/>
    <w:rsid w:val="001B478C"/>
    <w:rsid w:val="001B63FA"/>
    <w:rsid w:val="001B66E8"/>
    <w:rsid w:val="001B724B"/>
    <w:rsid w:val="001C2B26"/>
    <w:rsid w:val="001C73E6"/>
    <w:rsid w:val="001D0A14"/>
    <w:rsid w:val="001D1726"/>
    <w:rsid w:val="001D3D91"/>
    <w:rsid w:val="001D775D"/>
    <w:rsid w:val="001D7AE2"/>
    <w:rsid w:val="001E1EB9"/>
    <w:rsid w:val="001E1ED2"/>
    <w:rsid w:val="001E2836"/>
    <w:rsid w:val="001E625B"/>
    <w:rsid w:val="001E70C0"/>
    <w:rsid w:val="001E7AFA"/>
    <w:rsid w:val="001F0607"/>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2893"/>
    <w:rsid w:val="0022681D"/>
    <w:rsid w:val="002268E5"/>
    <w:rsid w:val="002304C1"/>
    <w:rsid w:val="0023241C"/>
    <w:rsid w:val="002349EA"/>
    <w:rsid w:val="002360F9"/>
    <w:rsid w:val="00243342"/>
    <w:rsid w:val="0024357E"/>
    <w:rsid w:val="00246639"/>
    <w:rsid w:val="0025095D"/>
    <w:rsid w:val="002518A2"/>
    <w:rsid w:val="002528AB"/>
    <w:rsid w:val="00252BB2"/>
    <w:rsid w:val="00255352"/>
    <w:rsid w:val="0025574A"/>
    <w:rsid w:val="00255B14"/>
    <w:rsid w:val="00255FAB"/>
    <w:rsid w:val="002574A4"/>
    <w:rsid w:val="00267968"/>
    <w:rsid w:val="00270768"/>
    <w:rsid w:val="002716EC"/>
    <w:rsid w:val="00272218"/>
    <w:rsid w:val="002801C7"/>
    <w:rsid w:val="0028229F"/>
    <w:rsid w:val="002856EB"/>
    <w:rsid w:val="002878DF"/>
    <w:rsid w:val="00287B6E"/>
    <w:rsid w:val="0029073F"/>
    <w:rsid w:val="00290B87"/>
    <w:rsid w:val="00292958"/>
    <w:rsid w:val="00292C49"/>
    <w:rsid w:val="00294270"/>
    <w:rsid w:val="002955F7"/>
    <w:rsid w:val="00297D67"/>
    <w:rsid w:val="002A0810"/>
    <w:rsid w:val="002A0E48"/>
    <w:rsid w:val="002A29BA"/>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2EE7"/>
    <w:rsid w:val="002E5F1E"/>
    <w:rsid w:val="002F0538"/>
    <w:rsid w:val="002F0D9E"/>
    <w:rsid w:val="002F6989"/>
    <w:rsid w:val="0030061E"/>
    <w:rsid w:val="0030576D"/>
    <w:rsid w:val="00307257"/>
    <w:rsid w:val="00307D5D"/>
    <w:rsid w:val="003128FA"/>
    <w:rsid w:val="003148EA"/>
    <w:rsid w:val="00316319"/>
    <w:rsid w:val="00316391"/>
    <w:rsid w:val="003254C3"/>
    <w:rsid w:val="00325611"/>
    <w:rsid w:val="00334697"/>
    <w:rsid w:val="00340172"/>
    <w:rsid w:val="00345503"/>
    <w:rsid w:val="0034565D"/>
    <w:rsid w:val="0034608C"/>
    <w:rsid w:val="00352D97"/>
    <w:rsid w:val="00354410"/>
    <w:rsid w:val="00354EE2"/>
    <w:rsid w:val="00355E5E"/>
    <w:rsid w:val="003615AC"/>
    <w:rsid w:val="00361C47"/>
    <w:rsid w:val="00361CD1"/>
    <w:rsid w:val="00362D90"/>
    <w:rsid w:val="00363904"/>
    <w:rsid w:val="00371B67"/>
    <w:rsid w:val="00375913"/>
    <w:rsid w:val="003764D7"/>
    <w:rsid w:val="00377D17"/>
    <w:rsid w:val="00377ECD"/>
    <w:rsid w:val="00380A98"/>
    <w:rsid w:val="00381A61"/>
    <w:rsid w:val="00382079"/>
    <w:rsid w:val="00383394"/>
    <w:rsid w:val="00383DB9"/>
    <w:rsid w:val="00386A1A"/>
    <w:rsid w:val="00386AD2"/>
    <w:rsid w:val="00391232"/>
    <w:rsid w:val="00391596"/>
    <w:rsid w:val="00393CDB"/>
    <w:rsid w:val="003946C2"/>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0B7C"/>
    <w:rsid w:val="003D4BC4"/>
    <w:rsid w:val="003D5D3A"/>
    <w:rsid w:val="003D6E7F"/>
    <w:rsid w:val="003D76A7"/>
    <w:rsid w:val="003E0603"/>
    <w:rsid w:val="003E1B7C"/>
    <w:rsid w:val="003E2A28"/>
    <w:rsid w:val="003E4C7C"/>
    <w:rsid w:val="003E679B"/>
    <w:rsid w:val="003F1085"/>
    <w:rsid w:val="003F2D41"/>
    <w:rsid w:val="00401B81"/>
    <w:rsid w:val="00404566"/>
    <w:rsid w:val="00405AAE"/>
    <w:rsid w:val="00407531"/>
    <w:rsid w:val="004075E0"/>
    <w:rsid w:val="00410041"/>
    <w:rsid w:val="00411A28"/>
    <w:rsid w:val="00414531"/>
    <w:rsid w:val="004165BC"/>
    <w:rsid w:val="004235FA"/>
    <w:rsid w:val="00424EB9"/>
    <w:rsid w:val="00425FDA"/>
    <w:rsid w:val="004270A9"/>
    <w:rsid w:val="004304A2"/>
    <w:rsid w:val="00432F4B"/>
    <w:rsid w:val="00433FC3"/>
    <w:rsid w:val="0043403A"/>
    <w:rsid w:val="004346BC"/>
    <w:rsid w:val="0043563A"/>
    <w:rsid w:val="004361E6"/>
    <w:rsid w:val="004557D5"/>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B40E5"/>
    <w:rsid w:val="004C0A46"/>
    <w:rsid w:val="004C15FB"/>
    <w:rsid w:val="004C4763"/>
    <w:rsid w:val="004C4D4F"/>
    <w:rsid w:val="004D0DBC"/>
    <w:rsid w:val="004D0EE2"/>
    <w:rsid w:val="004E01A8"/>
    <w:rsid w:val="004E1670"/>
    <w:rsid w:val="004E5EFD"/>
    <w:rsid w:val="004E6C7F"/>
    <w:rsid w:val="004F0AF6"/>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2770"/>
    <w:rsid w:val="0052410F"/>
    <w:rsid w:val="005257A0"/>
    <w:rsid w:val="005276A8"/>
    <w:rsid w:val="00531302"/>
    <w:rsid w:val="00531A8E"/>
    <w:rsid w:val="00533B9D"/>
    <w:rsid w:val="0053540E"/>
    <w:rsid w:val="0053636D"/>
    <w:rsid w:val="00537240"/>
    <w:rsid w:val="0054128C"/>
    <w:rsid w:val="00541415"/>
    <w:rsid w:val="005428D8"/>
    <w:rsid w:val="0054380B"/>
    <w:rsid w:val="005462D2"/>
    <w:rsid w:val="00546A7A"/>
    <w:rsid w:val="00550975"/>
    <w:rsid w:val="00553AC3"/>
    <w:rsid w:val="005642D2"/>
    <w:rsid w:val="00564AF1"/>
    <w:rsid w:val="00570335"/>
    <w:rsid w:val="00572029"/>
    <w:rsid w:val="005727C6"/>
    <w:rsid w:val="00572CFA"/>
    <w:rsid w:val="00574722"/>
    <w:rsid w:val="00574B8D"/>
    <w:rsid w:val="005767F1"/>
    <w:rsid w:val="00580526"/>
    <w:rsid w:val="00582E69"/>
    <w:rsid w:val="005861CF"/>
    <w:rsid w:val="0058680D"/>
    <w:rsid w:val="00586E94"/>
    <w:rsid w:val="00587ADB"/>
    <w:rsid w:val="0059159E"/>
    <w:rsid w:val="00593D62"/>
    <w:rsid w:val="00594152"/>
    <w:rsid w:val="0059444E"/>
    <w:rsid w:val="00594A33"/>
    <w:rsid w:val="005965EE"/>
    <w:rsid w:val="005A1EA6"/>
    <w:rsid w:val="005A2CBF"/>
    <w:rsid w:val="005A6B2A"/>
    <w:rsid w:val="005B0295"/>
    <w:rsid w:val="005B254A"/>
    <w:rsid w:val="005B36C0"/>
    <w:rsid w:val="005B5705"/>
    <w:rsid w:val="005B7476"/>
    <w:rsid w:val="005C05EF"/>
    <w:rsid w:val="005C128A"/>
    <w:rsid w:val="005C38D5"/>
    <w:rsid w:val="005C418B"/>
    <w:rsid w:val="005C4ED3"/>
    <w:rsid w:val="005C6539"/>
    <w:rsid w:val="005D2AF9"/>
    <w:rsid w:val="005D590E"/>
    <w:rsid w:val="005E1BA3"/>
    <w:rsid w:val="005F4E67"/>
    <w:rsid w:val="005F53FC"/>
    <w:rsid w:val="005F58ED"/>
    <w:rsid w:val="005F62A8"/>
    <w:rsid w:val="00603B07"/>
    <w:rsid w:val="00605ED4"/>
    <w:rsid w:val="0061231B"/>
    <w:rsid w:val="006174CA"/>
    <w:rsid w:val="006179D6"/>
    <w:rsid w:val="00617C19"/>
    <w:rsid w:val="00620171"/>
    <w:rsid w:val="00624DE9"/>
    <w:rsid w:val="006259A0"/>
    <w:rsid w:val="0062650A"/>
    <w:rsid w:val="0062679B"/>
    <w:rsid w:val="00626A22"/>
    <w:rsid w:val="00630B26"/>
    <w:rsid w:val="00634611"/>
    <w:rsid w:val="0063637D"/>
    <w:rsid w:val="0063757E"/>
    <w:rsid w:val="00637B1D"/>
    <w:rsid w:val="00640D0F"/>
    <w:rsid w:val="00641955"/>
    <w:rsid w:val="00642153"/>
    <w:rsid w:val="00644DBE"/>
    <w:rsid w:val="006459F5"/>
    <w:rsid w:val="006542E6"/>
    <w:rsid w:val="006568C4"/>
    <w:rsid w:val="00660020"/>
    <w:rsid w:val="00670ABD"/>
    <w:rsid w:val="00670B5B"/>
    <w:rsid w:val="0067193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0A56"/>
    <w:rsid w:val="006D11DF"/>
    <w:rsid w:val="006D2F3F"/>
    <w:rsid w:val="006D3434"/>
    <w:rsid w:val="006D4BCB"/>
    <w:rsid w:val="006E1201"/>
    <w:rsid w:val="006E3039"/>
    <w:rsid w:val="006E6DF0"/>
    <w:rsid w:val="006F1B98"/>
    <w:rsid w:val="006F2476"/>
    <w:rsid w:val="006F3AAB"/>
    <w:rsid w:val="006F4ED2"/>
    <w:rsid w:val="006F5730"/>
    <w:rsid w:val="00700FC1"/>
    <w:rsid w:val="007107B6"/>
    <w:rsid w:val="00712E74"/>
    <w:rsid w:val="0071500E"/>
    <w:rsid w:val="007163D9"/>
    <w:rsid w:val="00717D1F"/>
    <w:rsid w:val="00723211"/>
    <w:rsid w:val="00730391"/>
    <w:rsid w:val="00732EB4"/>
    <w:rsid w:val="007365F5"/>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7513A"/>
    <w:rsid w:val="00777C84"/>
    <w:rsid w:val="00782A7A"/>
    <w:rsid w:val="00783526"/>
    <w:rsid w:val="00783739"/>
    <w:rsid w:val="00783EA1"/>
    <w:rsid w:val="007854F9"/>
    <w:rsid w:val="00791810"/>
    <w:rsid w:val="007939B6"/>
    <w:rsid w:val="00795DB6"/>
    <w:rsid w:val="007964FC"/>
    <w:rsid w:val="007A24AB"/>
    <w:rsid w:val="007A366C"/>
    <w:rsid w:val="007A4A33"/>
    <w:rsid w:val="007A5D72"/>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5CC5"/>
    <w:rsid w:val="007D61F3"/>
    <w:rsid w:val="007E09C2"/>
    <w:rsid w:val="007E11C8"/>
    <w:rsid w:val="007E243A"/>
    <w:rsid w:val="007E2E94"/>
    <w:rsid w:val="007E45C1"/>
    <w:rsid w:val="007E48C0"/>
    <w:rsid w:val="007E5349"/>
    <w:rsid w:val="007F1B5C"/>
    <w:rsid w:val="007F7C2B"/>
    <w:rsid w:val="00802C3F"/>
    <w:rsid w:val="008071E0"/>
    <w:rsid w:val="00807495"/>
    <w:rsid w:val="008077B8"/>
    <w:rsid w:val="008122E0"/>
    <w:rsid w:val="00813E97"/>
    <w:rsid w:val="008168B4"/>
    <w:rsid w:val="008209E2"/>
    <w:rsid w:val="00821A7A"/>
    <w:rsid w:val="00822750"/>
    <w:rsid w:val="008261E0"/>
    <w:rsid w:val="00826274"/>
    <w:rsid w:val="0082766D"/>
    <w:rsid w:val="00830589"/>
    <w:rsid w:val="00831311"/>
    <w:rsid w:val="00835C79"/>
    <w:rsid w:val="00840198"/>
    <w:rsid w:val="00841263"/>
    <w:rsid w:val="0084602A"/>
    <w:rsid w:val="00847C94"/>
    <w:rsid w:val="008507C3"/>
    <w:rsid w:val="008525A4"/>
    <w:rsid w:val="00853D71"/>
    <w:rsid w:val="008550EA"/>
    <w:rsid w:val="00856656"/>
    <w:rsid w:val="00861C28"/>
    <w:rsid w:val="00862648"/>
    <w:rsid w:val="008665E0"/>
    <w:rsid w:val="0086731F"/>
    <w:rsid w:val="00871F5C"/>
    <w:rsid w:val="0087423F"/>
    <w:rsid w:val="0087445F"/>
    <w:rsid w:val="008744DA"/>
    <w:rsid w:val="00877AFF"/>
    <w:rsid w:val="0088226E"/>
    <w:rsid w:val="00882645"/>
    <w:rsid w:val="008826D1"/>
    <w:rsid w:val="008850B1"/>
    <w:rsid w:val="0088590F"/>
    <w:rsid w:val="00890803"/>
    <w:rsid w:val="00891799"/>
    <w:rsid w:val="00892BD9"/>
    <w:rsid w:val="008938F0"/>
    <w:rsid w:val="00893CBB"/>
    <w:rsid w:val="00894E04"/>
    <w:rsid w:val="00895CCB"/>
    <w:rsid w:val="008A0D5A"/>
    <w:rsid w:val="008A0DE9"/>
    <w:rsid w:val="008A14F1"/>
    <w:rsid w:val="008A21B7"/>
    <w:rsid w:val="008A378A"/>
    <w:rsid w:val="008A5D3C"/>
    <w:rsid w:val="008A7A04"/>
    <w:rsid w:val="008B1A75"/>
    <w:rsid w:val="008B7FD4"/>
    <w:rsid w:val="008C2496"/>
    <w:rsid w:val="008C24F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13FE"/>
    <w:rsid w:val="00982B10"/>
    <w:rsid w:val="009831BF"/>
    <w:rsid w:val="009834DC"/>
    <w:rsid w:val="00984898"/>
    <w:rsid w:val="009929C6"/>
    <w:rsid w:val="00992DAA"/>
    <w:rsid w:val="009970ED"/>
    <w:rsid w:val="00997772"/>
    <w:rsid w:val="009A00A8"/>
    <w:rsid w:val="009A0EB6"/>
    <w:rsid w:val="009A1B3F"/>
    <w:rsid w:val="009A2A80"/>
    <w:rsid w:val="009A3535"/>
    <w:rsid w:val="009A3E1E"/>
    <w:rsid w:val="009A4E03"/>
    <w:rsid w:val="009A57DD"/>
    <w:rsid w:val="009A6F24"/>
    <w:rsid w:val="009A7720"/>
    <w:rsid w:val="009A79E7"/>
    <w:rsid w:val="009B482F"/>
    <w:rsid w:val="009B62A2"/>
    <w:rsid w:val="009B6BB9"/>
    <w:rsid w:val="009C179C"/>
    <w:rsid w:val="009C38B5"/>
    <w:rsid w:val="009C4886"/>
    <w:rsid w:val="009C7141"/>
    <w:rsid w:val="009D134C"/>
    <w:rsid w:val="009D17FB"/>
    <w:rsid w:val="009D2425"/>
    <w:rsid w:val="009D4DED"/>
    <w:rsid w:val="009E3BD4"/>
    <w:rsid w:val="009F0559"/>
    <w:rsid w:val="009F1526"/>
    <w:rsid w:val="009F502C"/>
    <w:rsid w:val="009F62B0"/>
    <w:rsid w:val="009F780B"/>
    <w:rsid w:val="00A0387C"/>
    <w:rsid w:val="00A100A2"/>
    <w:rsid w:val="00A122CD"/>
    <w:rsid w:val="00A1308C"/>
    <w:rsid w:val="00A1632E"/>
    <w:rsid w:val="00A17DD2"/>
    <w:rsid w:val="00A223B0"/>
    <w:rsid w:val="00A23318"/>
    <w:rsid w:val="00A247B8"/>
    <w:rsid w:val="00A25681"/>
    <w:rsid w:val="00A25A41"/>
    <w:rsid w:val="00A262A3"/>
    <w:rsid w:val="00A2689F"/>
    <w:rsid w:val="00A31F89"/>
    <w:rsid w:val="00A360C9"/>
    <w:rsid w:val="00A4043A"/>
    <w:rsid w:val="00A4243D"/>
    <w:rsid w:val="00A45A75"/>
    <w:rsid w:val="00A557D0"/>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5DA7"/>
    <w:rsid w:val="00AF7050"/>
    <w:rsid w:val="00AF708A"/>
    <w:rsid w:val="00B03209"/>
    <w:rsid w:val="00B05275"/>
    <w:rsid w:val="00B10489"/>
    <w:rsid w:val="00B1277A"/>
    <w:rsid w:val="00B13B0F"/>
    <w:rsid w:val="00B14C85"/>
    <w:rsid w:val="00B17C01"/>
    <w:rsid w:val="00B224E6"/>
    <w:rsid w:val="00B244C5"/>
    <w:rsid w:val="00B247E1"/>
    <w:rsid w:val="00B31243"/>
    <w:rsid w:val="00B326A3"/>
    <w:rsid w:val="00B3336C"/>
    <w:rsid w:val="00B34B9F"/>
    <w:rsid w:val="00B3679E"/>
    <w:rsid w:val="00B433C2"/>
    <w:rsid w:val="00B43CC4"/>
    <w:rsid w:val="00B440BC"/>
    <w:rsid w:val="00B46C60"/>
    <w:rsid w:val="00B47E93"/>
    <w:rsid w:val="00B55BF2"/>
    <w:rsid w:val="00B56D6D"/>
    <w:rsid w:val="00B578AB"/>
    <w:rsid w:val="00B57E1A"/>
    <w:rsid w:val="00B65F0A"/>
    <w:rsid w:val="00B75217"/>
    <w:rsid w:val="00B75E06"/>
    <w:rsid w:val="00B7644D"/>
    <w:rsid w:val="00B76E8F"/>
    <w:rsid w:val="00B81C8A"/>
    <w:rsid w:val="00B82063"/>
    <w:rsid w:val="00B82C8C"/>
    <w:rsid w:val="00B84C6D"/>
    <w:rsid w:val="00B85568"/>
    <w:rsid w:val="00B86EFF"/>
    <w:rsid w:val="00B878D2"/>
    <w:rsid w:val="00B924BD"/>
    <w:rsid w:val="00B96B6C"/>
    <w:rsid w:val="00B97397"/>
    <w:rsid w:val="00BA0B84"/>
    <w:rsid w:val="00BA38D4"/>
    <w:rsid w:val="00BA4023"/>
    <w:rsid w:val="00BA412F"/>
    <w:rsid w:val="00BA4A3F"/>
    <w:rsid w:val="00BA6027"/>
    <w:rsid w:val="00BA622F"/>
    <w:rsid w:val="00BA7A05"/>
    <w:rsid w:val="00BB4034"/>
    <w:rsid w:val="00BB5CC5"/>
    <w:rsid w:val="00BB679D"/>
    <w:rsid w:val="00BC04A9"/>
    <w:rsid w:val="00BC18E5"/>
    <w:rsid w:val="00BC391C"/>
    <w:rsid w:val="00BC4869"/>
    <w:rsid w:val="00BC52F7"/>
    <w:rsid w:val="00BC5C0B"/>
    <w:rsid w:val="00BD2375"/>
    <w:rsid w:val="00BD6411"/>
    <w:rsid w:val="00BE3427"/>
    <w:rsid w:val="00BE4ACB"/>
    <w:rsid w:val="00BE5823"/>
    <w:rsid w:val="00BE6351"/>
    <w:rsid w:val="00BF26CD"/>
    <w:rsid w:val="00BF2F28"/>
    <w:rsid w:val="00BF3671"/>
    <w:rsid w:val="00BF413A"/>
    <w:rsid w:val="00BF4F0B"/>
    <w:rsid w:val="00BF53C0"/>
    <w:rsid w:val="00BF57CD"/>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AC1"/>
    <w:rsid w:val="00C70DA8"/>
    <w:rsid w:val="00C76077"/>
    <w:rsid w:val="00C81982"/>
    <w:rsid w:val="00C82CDD"/>
    <w:rsid w:val="00C84193"/>
    <w:rsid w:val="00C845DC"/>
    <w:rsid w:val="00C846DE"/>
    <w:rsid w:val="00C85C28"/>
    <w:rsid w:val="00C87F73"/>
    <w:rsid w:val="00C91F7B"/>
    <w:rsid w:val="00C93D0B"/>
    <w:rsid w:val="00C969D7"/>
    <w:rsid w:val="00C97B3E"/>
    <w:rsid w:val="00CA0345"/>
    <w:rsid w:val="00CA269C"/>
    <w:rsid w:val="00CB005F"/>
    <w:rsid w:val="00CB0A28"/>
    <w:rsid w:val="00CB28D2"/>
    <w:rsid w:val="00CB4062"/>
    <w:rsid w:val="00CB4341"/>
    <w:rsid w:val="00CC0A2F"/>
    <w:rsid w:val="00CC3127"/>
    <w:rsid w:val="00CC5404"/>
    <w:rsid w:val="00CC6205"/>
    <w:rsid w:val="00CC621B"/>
    <w:rsid w:val="00CC7851"/>
    <w:rsid w:val="00CC78E2"/>
    <w:rsid w:val="00CD0497"/>
    <w:rsid w:val="00CD1A67"/>
    <w:rsid w:val="00CD2794"/>
    <w:rsid w:val="00CD3AE0"/>
    <w:rsid w:val="00CE0996"/>
    <w:rsid w:val="00CE60CB"/>
    <w:rsid w:val="00CE716B"/>
    <w:rsid w:val="00CF1607"/>
    <w:rsid w:val="00CF21DD"/>
    <w:rsid w:val="00CF27ED"/>
    <w:rsid w:val="00CF3205"/>
    <w:rsid w:val="00CF52D3"/>
    <w:rsid w:val="00D038F8"/>
    <w:rsid w:val="00D0435B"/>
    <w:rsid w:val="00D04F24"/>
    <w:rsid w:val="00D0673D"/>
    <w:rsid w:val="00D06C11"/>
    <w:rsid w:val="00D0727D"/>
    <w:rsid w:val="00D10CAC"/>
    <w:rsid w:val="00D110D4"/>
    <w:rsid w:val="00D12203"/>
    <w:rsid w:val="00D13D5D"/>
    <w:rsid w:val="00D14B04"/>
    <w:rsid w:val="00D16444"/>
    <w:rsid w:val="00D16F2B"/>
    <w:rsid w:val="00D21002"/>
    <w:rsid w:val="00D2107C"/>
    <w:rsid w:val="00D21AB4"/>
    <w:rsid w:val="00D256A0"/>
    <w:rsid w:val="00D260AF"/>
    <w:rsid w:val="00D27FD0"/>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0F3F"/>
    <w:rsid w:val="00D77625"/>
    <w:rsid w:val="00D7770E"/>
    <w:rsid w:val="00D85D30"/>
    <w:rsid w:val="00D943E8"/>
    <w:rsid w:val="00D9470E"/>
    <w:rsid w:val="00D95201"/>
    <w:rsid w:val="00DA3001"/>
    <w:rsid w:val="00DA3716"/>
    <w:rsid w:val="00DA459A"/>
    <w:rsid w:val="00DA67EB"/>
    <w:rsid w:val="00DA6993"/>
    <w:rsid w:val="00DA6F98"/>
    <w:rsid w:val="00DB039D"/>
    <w:rsid w:val="00DB1D60"/>
    <w:rsid w:val="00DB557B"/>
    <w:rsid w:val="00DB59D2"/>
    <w:rsid w:val="00DB6CFF"/>
    <w:rsid w:val="00DC30D3"/>
    <w:rsid w:val="00DC3318"/>
    <w:rsid w:val="00DC3B4A"/>
    <w:rsid w:val="00DC3C3E"/>
    <w:rsid w:val="00DC6B2A"/>
    <w:rsid w:val="00DD0AA3"/>
    <w:rsid w:val="00DD36DD"/>
    <w:rsid w:val="00DD393A"/>
    <w:rsid w:val="00DD7E42"/>
    <w:rsid w:val="00DE045B"/>
    <w:rsid w:val="00DE096A"/>
    <w:rsid w:val="00DE09B4"/>
    <w:rsid w:val="00DE2E10"/>
    <w:rsid w:val="00DE545B"/>
    <w:rsid w:val="00DF01DE"/>
    <w:rsid w:val="00DF532A"/>
    <w:rsid w:val="00E003AC"/>
    <w:rsid w:val="00E01C63"/>
    <w:rsid w:val="00E02635"/>
    <w:rsid w:val="00E036DB"/>
    <w:rsid w:val="00E0389B"/>
    <w:rsid w:val="00E109F5"/>
    <w:rsid w:val="00E14489"/>
    <w:rsid w:val="00E16FD7"/>
    <w:rsid w:val="00E2096F"/>
    <w:rsid w:val="00E20FD1"/>
    <w:rsid w:val="00E22CF5"/>
    <w:rsid w:val="00E23A6E"/>
    <w:rsid w:val="00E26A1E"/>
    <w:rsid w:val="00E276D1"/>
    <w:rsid w:val="00E30864"/>
    <w:rsid w:val="00E30BB8"/>
    <w:rsid w:val="00E352FA"/>
    <w:rsid w:val="00E36493"/>
    <w:rsid w:val="00E36594"/>
    <w:rsid w:val="00E36F01"/>
    <w:rsid w:val="00E400D2"/>
    <w:rsid w:val="00E42DE3"/>
    <w:rsid w:val="00E454A2"/>
    <w:rsid w:val="00E46FD1"/>
    <w:rsid w:val="00E50F64"/>
    <w:rsid w:val="00E51BBF"/>
    <w:rsid w:val="00E54861"/>
    <w:rsid w:val="00E652BA"/>
    <w:rsid w:val="00E70D4B"/>
    <w:rsid w:val="00E76119"/>
    <w:rsid w:val="00E80C5C"/>
    <w:rsid w:val="00E81251"/>
    <w:rsid w:val="00E821B8"/>
    <w:rsid w:val="00E84A1D"/>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24F8"/>
    <w:rsid w:val="00EE3721"/>
    <w:rsid w:val="00EF10BA"/>
    <w:rsid w:val="00EF2609"/>
    <w:rsid w:val="00EF6674"/>
    <w:rsid w:val="00F015C6"/>
    <w:rsid w:val="00F045FE"/>
    <w:rsid w:val="00F05DEF"/>
    <w:rsid w:val="00F06B5E"/>
    <w:rsid w:val="00F076A6"/>
    <w:rsid w:val="00F12020"/>
    <w:rsid w:val="00F12941"/>
    <w:rsid w:val="00F140F9"/>
    <w:rsid w:val="00F14D8B"/>
    <w:rsid w:val="00F15F1C"/>
    <w:rsid w:val="00F162CE"/>
    <w:rsid w:val="00F20741"/>
    <w:rsid w:val="00F24DEC"/>
    <w:rsid w:val="00F24F25"/>
    <w:rsid w:val="00F25031"/>
    <w:rsid w:val="00F3073A"/>
    <w:rsid w:val="00F36D30"/>
    <w:rsid w:val="00F500C7"/>
    <w:rsid w:val="00F50BEE"/>
    <w:rsid w:val="00F5219A"/>
    <w:rsid w:val="00F53D59"/>
    <w:rsid w:val="00F54B9A"/>
    <w:rsid w:val="00F579E7"/>
    <w:rsid w:val="00F633FD"/>
    <w:rsid w:val="00F63ED5"/>
    <w:rsid w:val="00F643B3"/>
    <w:rsid w:val="00F65D53"/>
    <w:rsid w:val="00F7317C"/>
    <w:rsid w:val="00F74863"/>
    <w:rsid w:val="00F76C46"/>
    <w:rsid w:val="00F83D25"/>
    <w:rsid w:val="00F87E1B"/>
    <w:rsid w:val="00F91BBC"/>
    <w:rsid w:val="00F92BF3"/>
    <w:rsid w:val="00F94310"/>
    <w:rsid w:val="00F94BB8"/>
    <w:rsid w:val="00F9522D"/>
    <w:rsid w:val="00F966AF"/>
    <w:rsid w:val="00F96A66"/>
    <w:rsid w:val="00F96E2B"/>
    <w:rsid w:val="00F9709F"/>
    <w:rsid w:val="00F97455"/>
    <w:rsid w:val="00FA4A24"/>
    <w:rsid w:val="00FA7083"/>
    <w:rsid w:val="00FA71C6"/>
    <w:rsid w:val="00FB2676"/>
    <w:rsid w:val="00FB5539"/>
    <w:rsid w:val="00FB575D"/>
    <w:rsid w:val="00FC06EC"/>
    <w:rsid w:val="00FC420A"/>
    <w:rsid w:val="00FD0096"/>
    <w:rsid w:val="00FD1516"/>
    <w:rsid w:val="00FD1E1F"/>
    <w:rsid w:val="00FD2175"/>
    <w:rsid w:val="00FD3609"/>
    <w:rsid w:val="00FD5A8E"/>
    <w:rsid w:val="00FD6FD1"/>
    <w:rsid w:val="00FD7C8D"/>
    <w:rsid w:val="00FE140F"/>
    <w:rsid w:val="00FE1F45"/>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Kopfzeile">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68506-52A5-4AC5-B647-ABBB0F099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1079</Words>
  <Characters>6154</Characters>
  <Application>Microsoft Office Word</Application>
  <DocSecurity>0</DocSecurity>
  <Lines>51</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184</cp:revision>
  <cp:lastPrinted>2013-12-12T07:28:00Z</cp:lastPrinted>
  <dcterms:created xsi:type="dcterms:W3CDTF">2013-01-15T09:58:00Z</dcterms:created>
  <dcterms:modified xsi:type="dcterms:W3CDTF">2014-01-17T10:20:00Z</dcterms:modified>
</cp:coreProperties>
</file>