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41" w:rsidRPr="00505D3C" w:rsidRDefault="00851441">
      <w:pPr>
        <w:pStyle w:val="SubHead"/>
        <w:rPr>
          <w:rFonts w:cs="Times New Roman"/>
          <w:bCs w:val="0"/>
          <w:szCs w:val="24"/>
          <w:lang w:val="it-IT"/>
        </w:rPr>
      </w:pPr>
    </w:p>
    <w:p w:rsidR="00851441" w:rsidRPr="00505D3C" w:rsidRDefault="00851441">
      <w:pPr>
        <w:pStyle w:val="SubHead"/>
        <w:rPr>
          <w:rFonts w:cs="Times New Roman"/>
          <w:bCs w:val="0"/>
          <w:szCs w:val="24"/>
          <w:lang w:val="it-IT"/>
        </w:rPr>
      </w:pPr>
    </w:p>
    <w:p w:rsidR="00851441" w:rsidRPr="00294C6C" w:rsidRDefault="00AD134B">
      <w:pPr>
        <w:rPr>
          <w:rFonts w:cs="Times New Roman"/>
          <w:color w:val="000000"/>
          <w:sz w:val="20"/>
          <w:szCs w:val="24"/>
          <w:lang w:val="it-IT"/>
        </w:rPr>
      </w:pPr>
      <w:bookmarkStart w:id="0" w:name="Editing"/>
      <w:r w:rsidRPr="00294C6C">
        <w:rPr>
          <w:rFonts w:cs="Times New Roman"/>
          <w:b/>
          <w:sz w:val="28"/>
          <w:szCs w:val="24"/>
          <w:lang w:val="it-IT"/>
        </w:rPr>
        <w:t>10</w:t>
      </w:r>
      <w:r w:rsidR="001C048D" w:rsidRPr="00294C6C">
        <w:rPr>
          <w:rFonts w:cs="Times New Roman"/>
          <w:b/>
          <w:sz w:val="28"/>
          <w:szCs w:val="24"/>
          <w:lang w:val="it-IT"/>
        </w:rPr>
        <w:t xml:space="preserve"> carri </w:t>
      </w:r>
      <w:r w:rsidR="00E155C3" w:rsidRPr="00294C6C">
        <w:rPr>
          <w:rFonts w:cs="Times New Roman"/>
          <w:b/>
          <w:sz w:val="28"/>
          <w:szCs w:val="24"/>
          <w:lang w:val="it-IT"/>
        </w:rPr>
        <w:t xml:space="preserve">Doka per conci a balzo </w:t>
      </w:r>
      <w:r w:rsidRPr="00294C6C">
        <w:rPr>
          <w:rFonts w:cs="Times New Roman"/>
          <w:b/>
          <w:sz w:val="28"/>
          <w:szCs w:val="24"/>
          <w:lang w:val="it-IT"/>
        </w:rPr>
        <w:t xml:space="preserve">realizzano il Corridoio </w:t>
      </w:r>
      <w:proofErr w:type="spellStart"/>
      <w:r w:rsidRPr="00294C6C">
        <w:rPr>
          <w:rFonts w:cs="Times New Roman"/>
          <w:b/>
          <w:sz w:val="28"/>
          <w:szCs w:val="24"/>
          <w:lang w:val="it-IT"/>
        </w:rPr>
        <w:t>Vc</w:t>
      </w:r>
      <w:proofErr w:type="spellEnd"/>
    </w:p>
    <w:bookmarkEnd w:id="0"/>
    <w:p w:rsidR="00851441" w:rsidRPr="00505D3C" w:rsidRDefault="00851441">
      <w:pPr>
        <w:pStyle w:val="Einleitung"/>
        <w:spacing w:line="264" w:lineRule="auto"/>
        <w:rPr>
          <w:rFonts w:cs="Times New Roman"/>
          <w:bCs w:val="0"/>
          <w:color w:val="000000"/>
          <w:szCs w:val="24"/>
          <w:lang w:val="it-IT"/>
        </w:rPr>
      </w:pPr>
    </w:p>
    <w:p w:rsidR="00851441" w:rsidRPr="00294C6C" w:rsidRDefault="00294C6C">
      <w:pPr>
        <w:spacing w:line="260" w:lineRule="auto"/>
        <w:rPr>
          <w:rFonts w:cs="Times New Roman"/>
          <w:i/>
          <w:color w:val="000000"/>
          <w:sz w:val="20"/>
          <w:szCs w:val="20"/>
          <w:lang w:val="it-IT"/>
        </w:rPr>
      </w:pPr>
      <w:r w:rsidRPr="00294C6C">
        <w:rPr>
          <w:rFonts w:cs="Times New Roman"/>
          <w:i/>
          <w:sz w:val="20"/>
          <w:szCs w:val="20"/>
          <w:lang w:val="it-IT"/>
        </w:rPr>
        <w:t xml:space="preserve">Colturano, 27 marzo 2014 - </w:t>
      </w:r>
      <w:r w:rsidR="001C048D" w:rsidRPr="00294C6C">
        <w:rPr>
          <w:rFonts w:cs="Times New Roman"/>
          <w:i/>
          <w:sz w:val="20"/>
          <w:szCs w:val="20"/>
          <w:lang w:val="it-IT"/>
        </w:rPr>
        <w:t>In futuro viaggiare da Budapest alla Dalmazia meridionale sarà più veloce, grazie a</w:t>
      </w:r>
      <w:r w:rsidR="00851441" w:rsidRPr="00294C6C">
        <w:rPr>
          <w:rFonts w:cs="Times New Roman"/>
          <w:i/>
          <w:sz w:val="20"/>
          <w:szCs w:val="20"/>
          <w:lang w:val="it-IT"/>
        </w:rPr>
        <w:t>l corridoio paneuropeo</w:t>
      </w:r>
      <w:r w:rsidR="00005A73">
        <w:rPr>
          <w:rFonts w:cs="Times New Roman"/>
          <w:i/>
          <w:sz w:val="20"/>
          <w:szCs w:val="20"/>
          <w:lang w:val="it-IT"/>
        </w:rPr>
        <w:t xml:space="preserve"> </w:t>
      </w:r>
      <w:proofErr w:type="spellStart"/>
      <w:r w:rsidR="001C048D" w:rsidRPr="00294C6C">
        <w:rPr>
          <w:rFonts w:cs="Times New Roman"/>
          <w:i/>
          <w:sz w:val="20"/>
          <w:szCs w:val="20"/>
          <w:lang w:val="it-IT"/>
        </w:rPr>
        <w:t>Vc</w:t>
      </w:r>
      <w:proofErr w:type="spellEnd"/>
      <w:r w:rsidR="001C048D" w:rsidRPr="00294C6C">
        <w:rPr>
          <w:rFonts w:cs="Times New Roman"/>
          <w:i/>
          <w:sz w:val="20"/>
          <w:szCs w:val="20"/>
          <w:lang w:val="it-IT"/>
        </w:rPr>
        <w:t xml:space="preserve">. </w:t>
      </w:r>
      <w:r w:rsidR="00851441" w:rsidRPr="00294C6C">
        <w:rPr>
          <w:rFonts w:cs="Times New Roman"/>
          <w:i/>
          <w:sz w:val="20"/>
          <w:szCs w:val="20"/>
          <w:lang w:val="it-IT"/>
        </w:rPr>
        <w:t>A causa della difficile topografia del territorio, vengono realizzati numerosi ponti e gallerie</w:t>
      </w:r>
      <w:r w:rsidR="001C048D" w:rsidRPr="00294C6C">
        <w:rPr>
          <w:rFonts w:cs="Times New Roman"/>
          <w:i/>
          <w:sz w:val="20"/>
          <w:szCs w:val="20"/>
          <w:lang w:val="it-IT"/>
        </w:rPr>
        <w:t xml:space="preserve"> su un tratto di 397 km attraverso la Bosnia</w:t>
      </w:r>
      <w:r w:rsidR="00851441" w:rsidRPr="00294C6C">
        <w:rPr>
          <w:rFonts w:cs="Times New Roman"/>
          <w:i/>
          <w:sz w:val="20"/>
          <w:szCs w:val="20"/>
          <w:lang w:val="it-IT"/>
        </w:rPr>
        <w:t>.</w:t>
      </w:r>
      <w:r w:rsidR="001C048D" w:rsidRPr="00294C6C">
        <w:rPr>
          <w:rFonts w:cs="Times New Roman"/>
          <w:i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i/>
          <w:sz w:val="20"/>
          <w:szCs w:val="20"/>
          <w:lang w:val="it-IT"/>
        </w:rPr>
        <w:t xml:space="preserve">Per i viadotti </w:t>
      </w:r>
      <w:proofErr w:type="spellStart"/>
      <w:r w:rsidR="00851441" w:rsidRPr="00294C6C">
        <w:rPr>
          <w:rFonts w:cs="Times New Roman"/>
          <w:i/>
          <w:color w:val="000000"/>
          <w:sz w:val="20"/>
          <w:szCs w:val="20"/>
          <w:lang w:val="it-IT"/>
        </w:rPr>
        <w:t>Studenčica</w:t>
      </w:r>
      <w:proofErr w:type="spellEnd"/>
      <w:r w:rsidR="00851441" w:rsidRPr="00294C6C">
        <w:rPr>
          <w:rFonts w:cs="Times New Roman"/>
          <w:i/>
          <w:sz w:val="20"/>
          <w:szCs w:val="20"/>
          <w:lang w:val="it-IT"/>
        </w:rPr>
        <w:t xml:space="preserve"> e </w:t>
      </w:r>
      <w:proofErr w:type="spellStart"/>
      <w:r w:rsidR="00851441" w:rsidRPr="00294C6C">
        <w:rPr>
          <w:rFonts w:cs="Times New Roman"/>
          <w:i/>
          <w:sz w:val="20"/>
          <w:szCs w:val="20"/>
          <w:lang w:val="it-IT"/>
        </w:rPr>
        <w:t>Trebižat</w:t>
      </w:r>
      <w:proofErr w:type="spellEnd"/>
      <w:r w:rsidR="00851441" w:rsidRPr="00294C6C">
        <w:rPr>
          <w:rFonts w:cs="Times New Roman"/>
          <w:i/>
          <w:sz w:val="20"/>
          <w:szCs w:val="20"/>
          <w:lang w:val="it-IT"/>
        </w:rPr>
        <w:t xml:space="preserve">, Doka </w:t>
      </w:r>
      <w:r w:rsidR="001C048D" w:rsidRPr="00294C6C">
        <w:rPr>
          <w:rFonts w:cs="Times New Roman"/>
          <w:i/>
          <w:sz w:val="20"/>
          <w:szCs w:val="20"/>
          <w:lang w:val="it-IT"/>
        </w:rPr>
        <w:t xml:space="preserve">ha progettato e fornito </w:t>
      </w:r>
      <w:r w:rsidR="00851441" w:rsidRPr="00294C6C">
        <w:rPr>
          <w:rFonts w:cs="Times New Roman"/>
          <w:i/>
          <w:sz w:val="20"/>
          <w:szCs w:val="20"/>
          <w:lang w:val="it-IT"/>
        </w:rPr>
        <w:t>dieci carri per conci a sbalzo</w:t>
      </w:r>
      <w:r w:rsidR="001C048D" w:rsidRPr="00294C6C">
        <w:rPr>
          <w:rFonts w:cs="Times New Roman"/>
          <w:i/>
          <w:sz w:val="20"/>
          <w:szCs w:val="20"/>
          <w:lang w:val="it-IT"/>
        </w:rPr>
        <w:t>, contribuendo a velocizzare la realizzazione delle infrastrutture.</w:t>
      </w:r>
    </w:p>
    <w:p w:rsidR="00851441" w:rsidRDefault="00851441">
      <w:pPr>
        <w:spacing w:line="264" w:lineRule="auto"/>
        <w:rPr>
          <w:rFonts w:cs="Times New Roman"/>
          <w:color w:val="000000"/>
          <w:sz w:val="20"/>
          <w:szCs w:val="20"/>
          <w:lang w:val="it-IT"/>
        </w:rPr>
      </w:pPr>
    </w:p>
    <w:p w:rsidR="00294C6C" w:rsidRPr="00294C6C" w:rsidRDefault="00294C6C">
      <w:pPr>
        <w:spacing w:line="264" w:lineRule="auto"/>
        <w:rPr>
          <w:rFonts w:cs="Times New Roman"/>
          <w:color w:val="000000"/>
          <w:sz w:val="20"/>
          <w:szCs w:val="20"/>
          <w:lang w:val="it-IT"/>
        </w:rPr>
      </w:pPr>
    </w:p>
    <w:p w:rsidR="00851441" w:rsidRPr="00294C6C" w:rsidRDefault="00851441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La strada europea 73 è lunga </w:t>
      </w:r>
      <w:r w:rsidR="00AD134B" w:rsidRPr="00294C6C">
        <w:rPr>
          <w:rFonts w:cs="Times New Roman"/>
          <w:sz w:val="20"/>
          <w:szCs w:val="20"/>
          <w:lang w:val="it-IT"/>
        </w:rPr>
        <w:t>complessivamente</w:t>
      </w:r>
      <w:r w:rsidR="00EA36D2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>702 km.</w:t>
      </w:r>
      <w:r w:rsidR="002D471A" w:rsidRPr="00294C6C">
        <w:rPr>
          <w:rFonts w:cs="Times New Roman"/>
          <w:sz w:val="20"/>
          <w:szCs w:val="20"/>
          <w:lang w:val="it-IT"/>
        </w:rPr>
        <w:t xml:space="preserve"> L</w:t>
      </w:r>
      <w:r w:rsidRPr="00294C6C">
        <w:rPr>
          <w:rFonts w:cs="Times New Roman"/>
          <w:sz w:val="20"/>
          <w:szCs w:val="20"/>
          <w:lang w:val="it-IT"/>
        </w:rPr>
        <w:t xml:space="preserve">'A1 </w:t>
      </w:r>
      <w:r w:rsidR="002D471A" w:rsidRPr="00294C6C">
        <w:rPr>
          <w:rFonts w:cs="Times New Roman"/>
          <w:sz w:val="20"/>
          <w:szCs w:val="20"/>
          <w:lang w:val="it-IT"/>
        </w:rPr>
        <w:t xml:space="preserve">in Bosnia-Erzegovina </w:t>
      </w:r>
      <w:r w:rsidRPr="00294C6C">
        <w:rPr>
          <w:rFonts w:cs="Times New Roman"/>
          <w:sz w:val="20"/>
          <w:szCs w:val="20"/>
          <w:lang w:val="it-IT"/>
        </w:rPr>
        <w:t>è un tratto</w:t>
      </w:r>
      <w:r w:rsidR="002D471A" w:rsidRPr="00294C6C">
        <w:rPr>
          <w:rFonts w:cs="Times New Roman"/>
          <w:sz w:val="20"/>
          <w:szCs w:val="20"/>
          <w:lang w:val="it-IT"/>
        </w:rPr>
        <w:t xml:space="preserve"> importante</w:t>
      </w:r>
      <w:r w:rsidRPr="00294C6C">
        <w:rPr>
          <w:rFonts w:cs="Times New Roman"/>
          <w:sz w:val="20"/>
          <w:szCs w:val="20"/>
          <w:lang w:val="it-IT"/>
        </w:rPr>
        <w:t xml:space="preserve"> di questo percorso stradale che collega il confine settentrionale all'Adriatico, passando per </w:t>
      </w:r>
      <w:proofErr w:type="spellStart"/>
      <w:r w:rsidRPr="00294C6C">
        <w:rPr>
          <w:rFonts w:cs="Times New Roman"/>
          <w:sz w:val="20"/>
          <w:szCs w:val="20"/>
          <w:lang w:val="it-IT"/>
        </w:rPr>
        <w:t>Zenica</w:t>
      </w:r>
      <w:proofErr w:type="spellEnd"/>
      <w:r w:rsidRPr="00294C6C">
        <w:rPr>
          <w:rFonts w:cs="Times New Roman"/>
          <w:sz w:val="20"/>
          <w:szCs w:val="20"/>
          <w:lang w:val="it-IT"/>
        </w:rPr>
        <w:t>, Sarajevo e Mostar.</w:t>
      </w:r>
      <w:r w:rsidR="00EA36D2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In prossimità del comune 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Čapljina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i due ponti</w:t>
      </w:r>
      <w:r w:rsidR="00EA36D2" w:rsidRPr="00294C6C">
        <w:rPr>
          <w:rFonts w:cs="Times New Roman"/>
          <w:sz w:val="20"/>
          <w:szCs w:val="20"/>
          <w:lang w:val="it-IT"/>
        </w:rPr>
        <w:t xml:space="preserve">, </w:t>
      </w:r>
      <w:proofErr w:type="spellStart"/>
      <w:r w:rsidRPr="00294C6C">
        <w:rPr>
          <w:rFonts w:cs="Times New Roman"/>
          <w:color w:val="000000"/>
          <w:sz w:val="20"/>
          <w:szCs w:val="20"/>
          <w:lang w:val="it-IT"/>
        </w:rPr>
        <w:t>Studenčica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e </w:t>
      </w:r>
      <w:proofErr w:type="spellStart"/>
      <w:r w:rsidRPr="00294C6C">
        <w:rPr>
          <w:rFonts w:cs="Times New Roman"/>
          <w:sz w:val="20"/>
          <w:szCs w:val="20"/>
          <w:lang w:val="it-IT"/>
        </w:rPr>
        <w:t>Trebižat</w:t>
      </w:r>
      <w:proofErr w:type="spellEnd"/>
      <w:r w:rsidR="00EA36D2" w:rsidRPr="00294C6C">
        <w:rPr>
          <w:rFonts w:cs="Times New Roman"/>
          <w:sz w:val="20"/>
          <w:szCs w:val="20"/>
          <w:lang w:val="it-IT"/>
        </w:rPr>
        <w:t>,</w:t>
      </w: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EA36D2" w:rsidRPr="00294C6C">
        <w:rPr>
          <w:rFonts w:cs="Times New Roman"/>
          <w:sz w:val="20"/>
          <w:szCs w:val="20"/>
          <w:lang w:val="it-IT"/>
        </w:rPr>
        <w:t>vengono realizzati per</w:t>
      </w:r>
      <w:r w:rsidRPr="00294C6C">
        <w:rPr>
          <w:rFonts w:cs="Times New Roman"/>
          <w:sz w:val="20"/>
          <w:szCs w:val="20"/>
          <w:lang w:val="it-IT"/>
        </w:rPr>
        <w:t xml:space="preserve"> collegare </w:t>
      </w:r>
      <w:r w:rsidR="00EA36D2" w:rsidRPr="00294C6C">
        <w:rPr>
          <w:rFonts w:cs="Times New Roman"/>
          <w:sz w:val="20"/>
          <w:szCs w:val="20"/>
          <w:lang w:val="it-IT"/>
        </w:rPr>
        <w:t xml:space="preserve">le </w:t>
      </w:r>
      <w:r w:rsidRPr="00294C6C">
        <w:rPr>
          <w:rFonts w:cs="Times New Roman"/>
          <w:sz w:val="20"/>
          <w:szCs w:val="20"/>
          <w:lang w:val="it-IT"/>
        </w:rPr>
        <w:t>due valli.</w:t>
      </w:r>
      <w:r w:rsidR="00EA36D2" w:rsidRPr="00294C6C">
        <w:rPr>
          <w:rFonts w:cs="Times New Roman"/>
          <w:sz w:val="20"/>
          <w:szCs w:val="20"/>
          <w:lang w:val="it-IT"/>
        </w:rPr>
        <w:t xml:space="preserve"> La soluzione dei carri per conci a sbalzo Doka è stata apprezzata da </w:t>
      </w:r>
      <w:proofErr w:type="spellStart"/>
      <w:r w:rsidRPr="00294C6C">
        <w:rPr>
          <w:rFonts w:cs="Times New Roman"/>
          <w:sz w:val="20"/>
          <w:szCs w:val="20"/>
          <w:lang w:val="it-IT"/>
        </w:rPr>
        <w:t>Hering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, </w:t>
      </w:r>
      <w:r w:rsidR="00EA36D2" w:rsidRPr="00294C6C">
        <w:rPr>
          <w:rFonts w:cs="Times New Roman"/>
          <w:sz w:val="20"/>
          <w:szCs w:val="20"/>
          <w:lang w:val="it-IT"/>
        </w:rPr>
        <w:t>il subappaltatore</w:t>
      </w:r>
      <w:r w:rsidRPr="00294C6C">
        <w:rPr>
          <w:rFonts w:cs="Times New Roman"/>
          <w:sz w:val="20"/>
          <w:szCs w:val="20"/>
          <w:lang w:val="it-IT"/>
        </w:rPr>
        <w:t xml:space="preserve"> dell'impresa spagnola OHL, </w:t>
      </w:r>
      <w:r w:rsidR="00EA36D2" w:rsidRPr="00294C6C">
        <w:rPr>
          <w:rFonts w:cs="Times New Roman"/>
          <w:sz w:val="20"/>
          <w:szCs w:val="20"/>
          <w:lang w:val="it-IT"/>
        </w:rPr>
        <w:t>in particolare per i vantaggi derivanti  da</w:t>
      </w:r>
      <w:r w:rsidRPr="00294C6C">
        <w:rPr>
          <w:rFonts w:cs="Times New Roman"/>
          <w:sz w:val="20"/>
          <w:szCs w:val="20"/>
          <w:lang w:val="it-IT"/>
        </w:rPr>
        <w:t xml:space="preserve">lle sezioni di getto </w:t>
      </w:r>
      <w:r w:rsidR="00523087" w:rsidRPr="00294C6C">
        <w:rPr>
          <w:rFonts w:cs="Times New Roman"/>
          <w:sz w:val="20"/>
          <w:szCs w:val="20"/>
          <w:lang w:val="it-IT"/>
        </w:rPr>
        <w:t>più lunghe</w:t>
      </w:r>
      <w:r w:rsidRPr="00294C6C">
        <w:rPr>
          <w:rFonts w:cs="Times New Roman"/>
          <w:sz w:val="20"/>
          <w:szCs w:val="20"/>
          <w:lang w:val="it-IT"/>
        </w:rPr>
        <w:t>, che consentono di ridurre i tempi di costruzione di circa otto settimane.</w:t>
      </w:r>
      <w:r w:rsidR="00EA36D2" w:rsidRPr="00294C6C">
        <w:rPr>
          <w:rFonts w:cs="Times New Roman"/>
          <w:sz w:val="20"/>
          <w:szCs w:val="20"/>
          <w:lang w:val="it-IT"/>
        </w:rPr>
        <w:t xml:space="preserve"> </w:t>
      </w:r>
      <w:r w:rsidR="00600641" w:rsidRPr="00294C6C">
        <w:rPr>
          <w:rFonts w:cs="Times New Roman"/>
          <w:sz w:val="20"/>
          <w:szCs w:val="20"/>
          <w:lang w:val="it-IT"/>
        </w:rPr>
        <w:t>I precedenti</w:t>
      </w:r>
      <w:r w:rsidRPr="00294C6C">
        <w:rPr>
          <w:rFonts w:cs="Times New Roman"/>
          <w:sz w:val="20"/>
          <w:szCs w:val="20"/>
          <w:lang w:val="it-IT"/>
        </w:rPr>
        <w:t xml:space="preserve"> progetti realizzati </w:t>
      </w:r>
      <w:r w:rsidR="00600641" w:rsidRPr="00294C6C">
        <w:rPr>
          <w:rFonts w:cs="Times New Roman"/>
          <w:sz w:val="20"/>
          <w:szCs w:val="20"/>
          <w:lang w:val="it-IT"/>
        </w:rPr>
        <w:t>insieme</w:t>
      </w:r>
      <w:r w:rsidRPr="00294C6C">
        <w:rPr>
          <w:rFonts w:cs="Times New Roman"/>
          <w:sz w:val="20"/>
          <w:szCs w:val="20"/>
          <w:lang w:val="it-IT"/>
        </w:rPr>
        <w:t xml:space="preserve">, </w:t>
      </w:r>
      <w:r w:rsidR="00600641" w:rsidRPr="00294C6C">
        <w:rPr>
          <w:rFonts w:cs="Times New Roman"/>
          <w:sz w:val="20"/>
          <w:szCs w:val="20"/>
          <w:lang w:val="it-IT"/>
        </w:rPr>
        <w:t xml:space="preserve">i </w:t>
      </w:r>
      <w:r w:rsidRPr="00294C6C">
        <w:rPr>
          <w:rFonts w:cs="Times New Roman"/>
          <w:sz w:val="20"/>
          <w:szCs w:val="20"/>
          <w:lang w:val="it-IT"/>
        </w:rPr>
        <w:t xml:space="preserve">sistemi efficienti e la possibilità di noleggiare il materiale 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casseratura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sono stati gli elementi decisivi per l'assegnazione della commessa a Doka Croazia.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Con una lunghezza di 555 m da spalla a spalla e un'altezza massima di 81 m al di sopra della valle, </w:t>
      </w:r>
      <w:proofErr w:type="spellStart"/>
      <w:r w:rsidRPr="00294C6C">
        <w:rPr>
          <w:rFonts w:cs="Times New Roman"/>
          <w:color w:val="000000"/>
          <w:sz w:val="20"/>
          <w:szCs w:val="20"/>
          <w:lang w:val="it-IT"/>
        </w:rPr>
        <w:t>Studenčica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è il più lungo e </w:t>
      </w:r>
      <w:r w:rsidR="00600641" w:rsidRPr="00294C6C">
        <w:rPr>
          <w:rFonts w:cs="Times New Roman"/>
          <w:sz w:val="20"/>
          <w:szCs w:val="20"/>
          <w:lang w:val="it-IT"/>
        </w:rPr>
        <w:t xml:space="preserve">il </w:t>
      </w:r>
      <w:r w:rsidRPr="00294C6C">
        <w:rPr>
          <w:rFonts w:cs="Times New Roman"/>
          <w:sz w:val="20"/>
          <w:szCs w:val="20"/>
          <w:lang w:val="it-IT"/>
        </w:rPr>
        <w:t>più alto dei due ponti.</w:t>
      </w:r>
      <w:r w:rsidR="00600641" w:rsidRPr="00294C6C">
        <w:rPr>
          <w:rFonts w:cs="Times New Roman"/>
          <w:sz w:val="20"/>
          <w:szCs w:val="20"/>
          <w:lang w:val="it-IT"/>
        </w:rPr>
        <w:t xml:space="preserve"> Sorretto da </w:t>
      </w:r>
      <w:r w:rsidRPr="00294C6C">
        <w:rPr>
          <w:rFonts w:cs="Times New Roman"/>
          <w:sz w:val="20"/>
          <w:szCs w:val="20"/>
          <w:lang w:val="it-IT"/>
        </w:rPr>
        <w:t>cinque pi</w:t>
      </w:r>
      <w:r w:rsidR="0060619B" w:rsidRPr="00294C6C">
        <w:rPr>
          <w:rFonts w:cs="Times New Roman"/>
          <w:sz w:val="20"/>
          <w:szCs w:val="20"/>
          <w:lang w:val="it-IT"/>
        </w:rPr>
        <w:t>le</w:t>
      </w:r>
      <w:r w:rsidR="00600641" w:rsidRPr="00294C6C">
        <w:rPr>
          <w:rFonts w:cs="Times New Roman"/>
          <w:sz w:val="20"/>
          <w:szCs w:val="20"/>
          <w:lang w:val="it-IT"/>
        </w:rPr>
        <w:t>,</w:t>
      </w:r>
      <w:r w:rsidRPr="00294C6C">
        <w:rPr>
          <w:rFonts w:cs="Times New Roman"/>
          <w:sz w:val="20"/>
          <w:szCs w:val="20"/>
          <w:lang w:val="it-IT"/>
        </w:rPr>
        <w:t xml:space="preserve"> a una distanza di 120 m l'un</w:t>
      </w:r>
      <w:r w:rsidR="0060619B" w:rsidRPr="00294C6C">
        <w:rPr>
          <w:rFonts w:cs="Times New Roman"/>
          <w:sz w:val="20"/>
          <w:szCs w:val="20"/>
          <w:lang w:val="it-IT"/>
        </w:rPr>
        <w:t>a</w:t>
      </w:r>
      <w:r w:rsidRPr="00294C6C">
        <w:rPr>
          <w:rFonts w:cs="Times New Roman"/>
          <w:sz w:val="20"/>
          <w:szCs w:val="20"/>
          <w:lang w:val="it-IT"/>
        </w:rPr>
        <w:t xml:space="preserve"> dall'altr</w:t>
      </w:r>
      <w:r w:rsidR="0060619B" w:rsidRPr="00294C6C">
        <w:rPr>
          <w:rFonts w:cs="Times New Roman"/>
          <w:sz w:val="20"/>
          <w:szCs w:val="20"/>
          <w:lang w:val="it-IT"/>
        </w:rPr>
        <w:t>a</w:t>
      </w:r>
      <w:r w:rsidRPr="00294C6C">
        <w:rPr>
          <w:rFonts w:cs="Times New Roman"/>
          <w:sz w:val="20"/>
          <w:szCs w:val="20"/>
          <w:lang w:val="it-IT"/>
        </w:rPr>
        <w:t xml:space="preserve">, </w:t>
      </w:r>
      <w:r w:rsidR="00600641" w:rsidRPr="00294C6C">
        <w:rPr>
          <w:rFonts w:cs="Times New Roman"/>
          <w:sz w:val="20"/>
          <w:szCs w:val="20"/>
          <w:lang w:val="it-IT"/>
        </w:rPr>
        <w:t>viene realizzato un impalcato di ponte</w:t>
      </w:r>
      <w:r w:rsidR="00CE7B8F" w:rsidRPr="00294C6C">
        <w:rPr>
          <w:rFonts w:cs="Times New Roman"/>
          <w:sz w:val="20"/>
          <w:szCs w:val="20"/>
          <w:lang w:val="it-IT"/>
        </w:rPr>
        <w:t xml:space="preserve"> largo</w:t>
      </w:r>
      <w:r w:rsidRPr="00294C6C">
        <w:rPr>
          <w:rFonts w:cs="Times New Roman"/>
          <w:sz w:val="20"/>
          <w:szCs w:val="20"/>
          <w:lang w:val="it-IT"/>
        </w:rPr>
        <w:t xml:space="preserve"> 12,4 m.</w:t>
      </w:r>
      <w:r w:rsidR="00600641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>Il ponte più piccolo</w:t>
      </w:r>
      <w:r w:rsidR="00600641" w:rsidRPr="00294C6C">
        <w:rPr>
          <w:rFonts w:cs="Times New Roman"/>
          <w:sz w:val="20"/>
          <w:szCs w:val="20"/>
          <w:lang w:val="it-IT"/>
        </w:rPr>
        <w:t xml:space="preserve">, </w:t>
      </w:r>
      <w:proofErr w:type="spellStart"/>
      <w:r w:rsidRPr="00294C6C">
        <w:rPr>
          <w:rFonts w:cs="Times New Roman"/>
          <w:sz w:val="20"/>
          <w:szCs w:val="20"/>
          <w:lang w:val="it-IT"/>
        </w:rPr>
        <w:t>Trebižat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, con una lunghezza complessiva di 365 m e un'altezza massima di 59,5 m, </w:t>
      </w:r>
      <w:r w:rsidR="00600641" w:rsidRPr="00294C6C">
        <w:rPr>
          <w:rFonts w:cs="Times New Roman"/>
          <w:sz w:val="20"/>
          <w:szCs w:val="20"/>
          <w:lang w:val="it-IT"/>
        </w:rPr>
        <w:t xml:space="preserve">si sviluppa </w:t>
      </w:r>
      <w:r w:rsidR="00CE7B8F" w:rsidRPr="00294C6C">
        <w:rPr>
          <w:rFonts w:cs="Times New Roman"/>
          <w:sz w:val="20"/>
          <w:szCs w:val="20"/>
          <w:lang w:val="it-IT"/>
        </w:rPr>
        <w:t xml:space="preserve">invece </w:t>
      </w:r>
      <w:r w:rsidR="00600641" w:rsidRPr="00294C6C">
        <w:rPr>
          <w:rFonts w:cs="Times New Roman"/>
          <w:sz w:val="20"/>
          <w:szCs w:val="20"/>
          <w:lang w:val="it-IT"/>
        </w:rPr>
        <w:t>su</w:t>
      </w:r>
      <w:r w:rsidRPr="00294C6C">
        <w:rPr>
          <w:rFonts w:cs="Times New Roman"/>
          <w:sz w:val="20"/>
          <w:szCs w:val="20"/>
          <w:lang w:val="it-IT"/>
        </w:rPr>
        <w:t xml:space="preserve"> tre pil</w:t>
      </w:r>
      <w:r w:rsidR="0060619B" w:rsidRPr="00294C6C">
        <w:rPr>
          <w:rFonts w:cs="Times New Roman"/>
          <w:sz w:val="20"/>
          <w:szCs w:val="20"/>
          <w:lang w:val="it-IT"/>
        </w:rPr>
        <w:t>e</w:t>
      </w:r>
      <w:r w:rsidRPr="00294C6C">
        <w:rPr>
          <w:rFonts w:cs="Times New Roman"/>
          <w:sz w:val="20"/>
          <w:szCs w:val="20"/>
          <w:lang w:val="it-IT"/>
        </w:rPr>
        <w:t>.</w:t>
      </w:r>
      <w:r w:rsidR="00600641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Per entrambi i ponti, Doka ha ideato una soluzione 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casseratura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veloce e sicura con </w:t>
      </w:r>
      <w:r w:rsidR="00CE7B8F" w:rsidRPr="00294C6C">
        <w:rPr>
          <w:rFonts w:cs="Times New Roman"/>
          <w:sz w:val="20"/>
          <w:szCs w:val="20"/>
          <w:lang w:val="it-IT"/>
        </w:rPr>
        <w:t xml:space="preserve">dieci </w:t>
      </w:r>
      <w:r w:rsidRPr="00294C6C">
        <w:rPr>
          <w:rFonts w:cs="Times New Roman"/>
          <w:sz w:val="20"/>
          <w:szCs w:val="20"/>
          <w:lang w:val="it-IT"/>
        </w:rPr>
        <w:t>carri per conci a sbalzo</w:t>
      </w:r>
      <w:r w:rsidR="00CE7B8F" w:rsidRPr="00294C6C">
        <w:rPr>
          <w:rFonts w:cs="Times New Roman"/>
          <w:sz w:val="20"/>
          <w:szCs w:val="20"/>
          <w:lang w:val="it-IT"/>
        </w:rPr>
        <w:t xml:space="preserve">, </w:t>
      </w:r>
      <w:r w:rsidR="00600641" w:rsidRPr="00294C6C">
        <w:rPr>
          <w:rFonts w:cs="Times New Roman"/>
          <w:sz w:val="20"/>
          <w:szCs w:val="20"/>
          <w:lang w:val="it-IT"/>
        </w:rPr>
        <w:t xml:space="preserve">otto </w:t>
      </w:r>
      <w:r w:rsidR="00CE7B8F" w:rsidRPr="00294C6C">
        <w:rPr>
          <w:rFonts w:cs="Times New Roman"/>
          <w:sz w:val="20"/>
          <w:szCs w:val="20"/>
          <w:lang w:val="it-IT"/>
        </w:rPr>
        <w:t xml:space="preserve">in opera </w:t>
      </w:r>
      <w:r w:rsidR="00600641" w:rsidRPr="00294C6C">
        <w:rPr>
          <w:rFonts w:cs="Times New Roman"/>
          <w:sz w:val="20"/>
          <w:szCs w:val="20"/>
          <w:lang w:val="it-IT"/>
        </w:rPr>
        <w:t xml:space="preserve">sul </w:t>
      </w:r>
      <w:r w:rsidR="00CE7B8F" w:rsidRPr="00294C6C">
        <w:rPr>
          <w:rFonts w:cs="Times New Roman"/>
          <w:sz w:val="20"/>
          <w:szCs w:val="20"/>
          <w:lang w:val="it-IT"/>
        </w:rPr>
        <w:t xml:space="preserve">viadotto </w:t>
      </w:r>
      <w:proofErr w:type="spellStart"/>
      <w:r w:rsidR="00600641" w:rsidRPr="00294C6C">
        <w:rPr>
          <w:rFonts w:cs="Times New Roman"/>
          <w:color w:val="000000"/>
          <w:sz w:val="20"/>
          <w:szCs w:val="20"/>
          <w:lang w:val="it-IT"/>
        </w:rPr>
        <w:t>Studenčica</w:t>
      </w:r>
      <w:proofErr w:type="spellEnd"/>
      <w:r w:rsidR="00600641" w:rsidRPr="00294C6C">
        <w:rPr>
          <w:rFonts w:cs="Times New Roman"/>
          <w:color w:val="000000"/>
          <w:sz w:val="20"/>
          <w:szCs w:val="20"/>
          <w:lang w:val="it-IT"/>
        </w:rPr>
        <w:t xml:space="preserve"> e due sul </w:t>
      </w:r>
      <w:proofErr w:type="spellStart"/>
      <w:r w:rsidR="00600641" w:rsidRPr="00294C6C">
        <w:rPr>
          <w:rFonts w:cs="Times New Roman"/>
          <w:sz w:val="20"/>
          <w:szCs w:val="20"/>
          <w:lang w:val="it-IT"/>
        </w:rPr>
        <w:t>Trebižat</w:t>
      </w:r>
      <w:proofErr w:type="spellEnd"/>
      <w:r w:rsidR="00600641" w:rsidRPr="00294C6C">
        <w:rPr>
          <w:rFonts w:cs="Times New Roman"/>
          <w:sz w:val="20"/>
          <w:szCs w:val="20"/>
          <w:lang w:val="it-IT"/>
        </w:rPr>
        <w:t xml:space="preserve">. 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pStyle w:val="Einleitung"/>
        <w:spacing w:line="260" w:lineRule="auto"/>
        <w:rPr>
          <w:rFonts w:cs="Times New Roman"/>
          <w:bCs w:val="0"/>
          <w:sz w:val="20"/>
          <w:szCs w:val="20"/>
          <w:lang w:val="it-IT"/>
        </w:rPr>
      </w:pPr>
      <w:r w:rsidRPr="00294C6C">
        <w:rPr>
          <w:rFonts w:cs="Times New Roman"/>
          <w:bCs w:val="0"/>
          <w:sz w:val="20"/>
          <w:szCs w:val="20"/>
          <w:lang w:val="it-IT"/>
        </w:rPr>
        <w:t xml:space="preserve">Prima </w:t>
      </w:r>
      <w:r w:rsidR="00600641" w:rsidRPr="00294C6C">
        <w:rPr>
          <w:rFonts w:cs="Times New Roman"/>
          <w:bCs w:val="0"/>
          <w:sz w:val="20"/>
          <w:szCs w:val="20"/>
          <w:lang w:val="it-IT"/>
        </w:rPr>
        <w:t>in elevazione</w:t>
      </w:r>
      <w:r w:rsidRPr="00294C6C">
        <w:rPr>
          <w:rFonts w:cs="Times New Roman"/>
          <w:bCs w:val="0"/>
          <w:sz w:val="20"/>
          <w:szCs w:val="20"/>
          <w:lang w:val="it-IT"/>
        </w:rPr>
        <w:t xml:space="preserve">, poi </w:t>
      </w:r>
      <w:r w:rsidR="00600641" w:rsidRPr="00294C6C">
        <w:rPr>
          <w:rFonts w:cs="Times New Roman"/>
          <w:bCs w:val="0"/>
          <w:sz w:val="20"/>
          <w:szCs w:val="20"/>
          <w:lang w:val="it-IT"/>
        </w:rPr>
        <w:t>in avanzamento</w:t>
      </w:r>
    </w:p>
    <w:p w:rsidR="00851441" w:rsidRPr="00294C6C" w:rsidRDefault="00851441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Con </w:t>
      </w:r>
      <w:r w:rsidR="00063232" w:rsidRPr="00294C6C">
        <w:rPr>
          <w:rFonts w:cs="Times New Roman"/>
          <w:sz w:val="20"/>
          <w:szCs w:val="20"/>
          <w:lang w:val="it-IT"/>
        </w:rPr>
        <w:t>i</w:t>
      </w:r>
      <w:r w:rsidRPr="00294C6C">
        <w:rPr>
          <w:rFonts w:cs="Times New Roman"/>
          <w:sz w:val="20"/>
          <w:szCs w:val="20"/>
          <w:lang w:val="it-IT"/>
        </w:rPr>
        <w:t xml:space="preserve"> carri per conci a sbalzo </w:t>
      </w:r>
      <w:r w:rsidR="00063232" w:rsidRPr="00294C6C">
        <w:rPr>
          <w:rFonts w:cs="Times New Roman"/>
          <w:sz w:val="20"/>
          <w:szCs w:val="20"/>
          <w:lang w:val="it-IT"/>
        </w:rPr>
        <w:t xml:space="preserve">Doka </w:t>
      </w:r>
      <w:r w:rsidRPr="00294C6C">
        <w:rPr>
          <w:rFonts w:cs="Times New Roman"/>
          <w:sz w:val="20"/>
          <w:szCs w:val="20"/>
          <w:lang w:val="it-IT"/>
        </w:rPr>
        <w:t xml:space="preserve">si possono realizzare </w:t>
      </w:r>
      <w:r w:rsidR="0060619B" w:rsidRPr="00294C6C">
        <w:rPr>
          <w:rFonts w:cs="Times New Roman"/>
          <w:sz w:val="20"/>
          <w:szCs w:val="20"/>
          <w:lang w:val="it-IT"/>
        </w:rPr>
        <w:t xml:space="preserve">conci </w:t>
      </w:r>
      <w:r w:rsidR="00523087" w:rsidRPr="00294C6C">
        <w:rPr>
          <w:rFonts w:cs="Times New Roman"/>
          <w:sz w:val="20"/>
          <w:szCs w:val="20"/>
          <w:lang w:val="it-IT"/>
        </w:rPr>
        <w:t xml:space="preserve">lunghi </w:t>
      </w:r>
      <w:r w:rsidRPr="00294C6C">
        <w:rPr>
          <w:rFonts w:cs="Times New Roman"/>
          <w:sz w:val="20"/>
          <w:szCs w:val="20"/>
          <w:lang w:val="it-IT"/>
        </w:rPr>
        <w:t xml:space="preserve">5 m in cicli </w:t>
      </w:r>
      <w:r w:rsidR="00063232" w:rsidRPr="00294C6C">
        <w:rPr>
          <w:rFonts w:cs="Times New Roman"/>
          <w:sz w:val="20"/>
          <w:szCs w:val="20"/>
          <w:lang w:val="it-IT"/>
        </w:rPr>
        <w:t>settimanali</w:t>
      </w:r>
      <w:r w:rsidRPr="00294C6C">
        <w:rPr>
          <w:rFonts w:cs="Times New Roman"/>
          <w:sz w:val="20"/>
          <w:szCs w:val="20"/>
          <w:lang w:val="it-IT"/>
        </w:rPr>
        <w:t>.</w:t>
      </w:r>
      <w:r w:rsidR="00063232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Nel progetto </w:t>
      </w:r>
      <w:r w:rsidR="00AD134B" w:rsidRPr="00294C6C">
        <w:rPr>
          <w:rFonts w:cs="Times New Roman"/>
          <w:sz w:val="20"/>
          <w:szCs w:val="20"/>
          <w:lang w:val="it-IT"/>
        </w:rPr>
        <w:t xml:space="preserve">del </w:t>
      </w:r>
      <w:r w:rsidRPr="00294C6C">
        <w:rPr>
          <w:rFonts w:cs="Times New Roman"/>
          <w:sz w:val="20"/>
          <w:szCs w:val="20"/>
          <w:lang w:val="it-IT"/>
        </w:rPr>
        <w:t xml:space="preserve">Corridoio </w:t>
      </w:r>
      <w:proofErr w:type="spellStart"/>
      <w:r w:rsidRPr="00294C6C">
        <w:rPr>
          <w:rFonts w:cs="Times New Roman"/>
          <w:sz w:val="20"/>
          <w:szCs w:val="20"/>
          <w:lang w:val="it-IT"/>
        </w:rPr>
        <w:t>Vc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i </w:t>
      </w:r>
      <w:r w:rsidR="00063232" w:rsidRPr="00294C6C">
        <w:rPr>
          <w:rFonts w:cs="Times New Roman"/>
          <w:sz w:val="20"/>
          <w:szCs w:val="20"/>
          <w:lang w:val="it-IT"/>
        </w:rPr>
        <w:t xml:space="preserve">carri </w:t>
      </w:r>
      <w:r w:rsidRPr="00294C6C">
        <w:rPr>
          <w:rFonts w:cs="Times New Roman"/>
          <w:sz w:val="20"/>
          <w:szCs w:val="20"/>
          <w:lang w:val="it-IT"/>
        </w:rPr>
        <w:t xml:space="preserve">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casseratura</w:t>
      </w:r>
      <w:proofErr w:type="spellEnd"/>
      <w:r w:rsidR="00063232" w:rsidRPr="00294C6C">
        <w:rPr>
          <w:rFonts w:cs="Times New Roman"/>
          <w:sz w:val="20"/>
          <w:szCs w:val="20"/>
          <w:lang w:val="it-IT"/>
        </w:rPr>
        <w:t>,</w:t>
      </w:r>
      <w:r w:rsidRPr="00294C6C">
        <w:rPr>
          <w:rFonts w:cs="Times New Roman"/>
          <w:sz w:val="20"/>
          <w:szCs w:val="20"/>
          <w:lang w:val="it-IT"/>
        </w:rPr>
        <w:t xml:space="preserve"> concepiti per </w:t>
      </w:r>
      <w:r w:rsidR="00063232" w:rsidRPr="00294C6C">
        <w:rPr>
          <w:rFonts w:cs="Times New Roman"/>
          <w:sz w:val="20"/>
          <w:szCs w:val="20"/>
          <w:lang w:val="it-IT"/>
        </w:rPr>
        <w:t xml:space="preserve"> sostenere </w:t>
      </w:r>
      <w:r w:rsidRPr="00294C6C">
        <w:rPr>
          <w:rFonts w:cs="Times New Roman"/>
          <w:sz w:val="20"/>
          <w:szCs w:val="20"/>
          <w:lang w:val="it-IT"/>
        </w:rPr>
        <w:t xml:space="preserve">250 t </w:t>
      </w:r>
      <w:r w:rsidR="00063232" w:rsidRPr="00294C6C">
        <w:rPr>
          <w:rFonts w:cs="Times New Roman"/>
          <w:sz w:val="20"/>
          <w:szCs w:val="20"/>
          <w:lang w:val="it-IT"/>
        </w:rPr>
        <w:t xml:space="preserve">, ne </w:t>
      </w:r>
      <w:r w:rsidRPr="00294C6C">
        <w:rPr>
          <w:rFonts w:cs="Times New Roman"/>
          <w:sz w:val="20"/>
          <w:szCs w:val="20"/>
          <w:lang w:val="it-IT"/>
        </w:rPr>
        <w:t xml:space="preserve">sostengono </w:t>
      </w:r>
      <w:r w:rsidR="00063232" w:rsidRPr="00294C6C">
        <w:rPr>
          <w:rFonts w:cs="Times New Roman"/>
          <w:sz w:val="20"/>
          <w:szCs w:val="20"/>
          <w:lang w:val="it-IT"/>
        </w:rPr>
        <w:t>in realtà</w:t>
      </w:r>
      <w:r w:rsidRPr="00294C6C">
        <w:rPr>
          <w:rFonts w:cs="Times New Roman"/>
          <w:sz w:val="20"/>
          <w:szCs w:val="20"/>
          <w:lang w:val="it-IT"/>
        </w:rPr>
        <w:t xml:space="preserve"> 196,5 t. "Le sezioni di getto </w:t>
      </w:r>
      <w:r w:rsidR="0060619B" w:rsidRPr="00294C6C">
        <w:rPr>
          <w:rFonts w:cs="Times New Roman"/>
          <w:sz w:val="20"/>
          <w:szCs w:val="20"/>
          <w:lang w:val="it-IT"/>
        </w:rPr>
        <w:t>con lunghezza pari a</w:t>
      </w:r>
      <w:r w:rsidRPr="00294C6C">
        <w:rPr>
          <w:rFonts w:cs="Times New Roman"/>
          <w:sz w:val="20"/>
          <w:szCs w:val="20"/>
          <w:lang w:val="it-IT"/>
        </w:rPr>
        <w:t xml:space="preserve"> 5 m riducono il numero di segment</w:t>
      </w:r>
      <w:r w:rsidR="00976DE2" w:rsidRPr="00294C6C">
        <w:rPr>
          <w:rFonts w:cs="Times New Roman"/>
          <w:sz w:val="20"/>
          <w:szCs w:val="20"/>
          <w:lang w:val="it-IT"/>
        </w:rPr>
        <w:t>i e di giunzioni</w:t>
      </w:r>
      <w:r w:rsidRPr="00294C6C">
        <w:rPr>
          <w:rFonts w:cs="Times New Roman"/>
          <w:sz w:val="20"/>
          <w:szCs w:val="20"/>
          <w:lang w:val="it-IT"/>
        </w:rPr>
        <w:t xml:space="preserve">, consentendo di risparmiare tempo e denaro" afferma il responsabile del progetto Mario </w:t>
      </w:r>
      <w:proofErr w:type="spellStart"/>
      <w:r w:rsidRPr="00294C6C">
        <w:rPr>
          <w:rFonts w:cs="Times New Roman"/>
          <w:sz w:val="20"/>
          <w:szCs w:val="20"/>
          <w:lang w:val="it-IT"/>
        </w:rPr>
        <w:t>Jurisic</w:t>
      </w:r>
      <w:proofErr w:type="spellEnd"/>
      <w:r w:rsidRPr="00294C6C">
        <w:rPr>
          <w:rFonts w:cs="Times New Roman"/>
          <w:sz w:val="20"/>
          <w:szCs w:val="20"/>
          <w:lang w:val="it-IT"/>
        </w:rPr>
        <w:t>.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>Grazie alla proposta</w:t>
      </w:r>
      <w:r w:rsidR="00D03367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del </w:t>
      </w:r>
      <w:proofErr w:type="spellStart"/>
      <w:r w:rsidR="00063232" w:rsidRPr="00294C6C">
        <w:rPr>
          <w:rFonts w:cs="Times New Roman"/>
          <w:sz w:val="20"/>
          <w:szCs w:val="20"/>
          <w:lang w:val="it-IT"/>
        </w:rPr>
        <w:t>Competence</w:t>
      </w:r>
      <w:proofErr w:type="spellEnd"/>
      <w:r w:rsidR="00063232" w:rsidRPr="00294C6C">
        <w:rPr>
          <w:rFonts w:cs="Times New Roman"/>
          <w:sz w:val="20"/>
          <w:szCs w:val="20"/>
          <w:lang w:val="it-IT"/>
        </w:rPr>
        <w:t xml:space="preserve"> Center Doka per i ponti,</w:t>
      </w:r>
      <w:r w:rsidR="00063232" w:rsidRPr="00294C6C">
        <w:rPr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>di</w:t>
      </w:r>
      <w:r w:rsidR="00063232" w:rsidRPr="00294C6C">
        <w:rPr>
          <w:rFonts w:cs="Times New Roman"/>
          <w:sz w:val="20"/>
          <w:szCs w:val="20"/>
          <w:lang w:val="it-IT"/>
        </w:rPr>
        <w:t xml:space="preserve"> </w:t>
      </w:r>
      <w:r w:rsidR="0060619B" w:rsidRPr="00294C6C">
        <w:rPr>
          <w:rFonts w:cs="Times New Roman"/>
          <w:sz w:val="20"/>
          <w:szCs w:val="20"/>
          <w:lang w:val="it-IT"/>
        </w:rPr>
        <w:t>estendere</w:t>
      </w:r>
      <w:r w:rsidR="0060619B" w:rsidRPr="00294C6C">
        <w:rPr>
          <w:rFonts w:cs="Times New Roman"/>
          <w:color w:val="FF0000"/>
          <w:sz w:val="20"/>
          <w:szCs w:val="20"/>
          <w:lang w:val="it-IT"/>
        </w:rPr>
        <w:t xml:space="preserve"> </w:t>
      </w:r>
      <w:r w:rsidR="00063232" w:rsidRPr="00294C6C">
        <w:rPr>
          <w:rFonts w:cs="Times New Roman"/>
          <w:sz w:val="20"/>
          <w:szCs w:val="20"/>
          <w:lang w:val="it-IT"/>
        </w:rPr>
        <w:t>la sezione di getto</w:t>
      </w:r>
      <w:r w:rsidR="0060619B" w:rsidRPr="00294C6C">
        <w:rPr>
          <w:rFonts w:cs="Times New Roman"/>
          <w:sz w:val="20"/>
          <w:szCs w:val="20"/>
          <w:lang w:val="it-IT"/>
        </w:rPr>
        <w:t xml:space="preserve"> sino a </w:t>
      </w:r>
      <w:r w:rsidRPr="00294C6C">
        <w:rPr>
          <w:rFonts w:cs="Times New Roman"/>
          <w:sz w:val="20"/>
          <w:szCs w:val="20"/>
          <w:lang w:val="it-IT"/>
        </w:rPr>
        <w:t xml:space="preserve">5 m, è </w:t>
      </w:r>
      <w:r w:rsidR="00063232" w:rsidRPr="00294C6C">
        <w:rPr>
          <w:rFonts w:cs="Times New Roman"/>
          <w:sz w:val="20"/>
          <w:szCs w:val="20"/>
          <w:lang w:val="it-IT"/>
        </w:rPr>
        <w:t xml:space="preserve">stato </w:t>
      </w:r>
      <w:r w:rsidRPr="00294C6C">
        <w:rPr>
          <w:rFonts w:cs="Times New Roman"/>
          <w:sz w:val="20"/>
          <w:szCs w:val="20"/>
          <w:lang w:val="it-IT"/>
        </w:rPr>
        <w:t xml:space="preserve">possibile risparmiare otto </w:t>
      </w:r>
      <w:r w:rsidR="0060619B" w:rsidRPr="00294C6C">
        <w:rPr>
          <w:rFonts w:cs="Times New Roman"/>
          <w:sz w:val="20"/>
          <w:szCs w:val="20"/>
          <w:lang w:val="it-IT"/>
        </w:rPr>
        <w:t>conci</w:t>
      </w:r>
      <w:r w:rsidR="00063232" w:rsidRPr="00294C6C">
        <w:rPr>
          <w:rFonts w:cs="Times New Roman"/>
          <w:color w:val="FF0000"/>
          <w:sz w:val="20"/>
          <w:szCs w:val="20"/>
          <w:lang w:val="it-IT"/>
        </w:rPr>
        <w:t xml:space="preserve"> </w:t>
      </w:r>
      <w:r w:rsidR="00063232" w:rsidRPr="00294C6C">
        <w:rPr>
          <w:rFonts w:cs="Times New Roman"/>
          <w:sz w:val="20"/>
          <w:szCs w:val="20"/>
          <w:lang w:val="it-IT"/>
        </w:rPr>
        <w:t>che, c</w:t>
      </w:r>
      <w:r w:rsidRPr="00294C6C">
        <w:rPr>
          <w:rFonts w:cs="Times New Roman"/>
          <w:sz w:val="20"/>
          <w:szCs w:val="20"/>
          <w:lang w:val="it-IT"/>
        </w:rPr>
        <w:t>on un ciclo di lavoro settimanale, significa</w:t>
      </w:r>
      <w:r w:rsidR="00976DE2" w:rsidRPr="00294C6C">
        <w:rPr>
          <w:rFonts w:cs="Times New Roman"/>
          <w:sz w:val="20"/>
          <w:szCs w:val="20"/>
          <w:lang w:val="it-IT"/>
        </w:rPr>
        <w:t xml:space="preserve"> un vantaggio di otto settimane!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851441" w:rsidRPr="00294C6C" w:rsidRDefault="00976DE2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>Considerato il variare dell'inclinazione trasversale e il rastremare del</w:t>
      </w:r>
      <w:r w:rsidR="00851441" w:rsidRPr="00294C6C">
        <w:rPr>
          <w:rFonts w:cs="Times New Roman"/>
          <w:sz w:val="20"/>
          <w:szCs w:val="20"/>
          <w:lang w:val="it-IT"/>
        </w:rPr>
        <w:t xml:space="preserve">le pareti della struttura portante, ogni sezione è stata progettata individualmente, </w:t>
      </w:r>
      <w:r w:rsidRPr="00294C6C">
        <w:rPr>
          <w:rFonts w:cs="Times New Roman"/>
          <w:sz w:val="20"/>
          <w:szCs w:val="20"/>
          <w:lang w:val="it-IT"/>
        </w:rPr>
        <w:t xml:space="preserve">eliminando </w:t>
      </w:r>
      <w:r w:rsidR="00851441" w:rsidRPr="00294C6C">
        <w:rPr>
          <w:rFonts w:cs="Times New Roman"/>
          <w:sz w:val="20"/>
          <w:szCs w:val="20"/>
          <w:lang w:val="it-IT"/>
        </w:rPr>
        <w:t xml:space="preserve">così </w:t>
      </w:r>
      <w:r w:rsidRPr="00294C6C">
        <w:rPr>
          <w:rFonts w:cs="Times New Roman"/>
          <w:sz w:val="20"/>
          <w:szCs w:val="20"/>
          <w:lang w:val="it-IT"/>
        </w:rPr>
        <w:t>la necessità di adattare la</w:t>
      </w:r>
      <w:r w:rsidR="00851441" w:rsidRPr="00294C6C">
        <w:rPr>
          <w:rFonts w:cs="Times New Roman"/>
          <w:sz w:val="20"/>
          <w:szCs w:val="20"/>
          <w:lang w:val="it-IT"/>
        </w:rPr>
        <w:t xml:space="preserve"> cassaforma.</w:t>
      </w: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>L'impiego di elementi di compensazione e di una soluzione speciale con elementi inter</w:t>
      </w:r>
      <w:r w:rsidRPr="00294C6C">
        <w:rPr>
          <w:rFonts w:cs="Times New Roman"/>
          <w:sz w:val="20"/>
          <w:szCs w:val="20"/>
          <w:lang w:val="it-IT"/>
        </w:rPr>
        <w:t>s</w:t>
      </w:r>
      <w:r w:rsidR="00851441" w:rsidRPr="00294C6C">
        <w:rPr>
          <w:rFonts w:cs="Times New Roman"/>
          <w:sz w:val="20"/>
          <w:szCs w:val="20"/>
          <w:lang w:val="it-IT"/>
        </w:rPr>
        <w:t xml:space="preserve">cambiabili riutilizzabili </w:t>
      </w:r>
      <w:r w:rsidRPr="00294C6C">
        <w:rPr>
          <w:rFonts w:cs="Times New Roman"/>
          <w:sz w:val="20"/>
          <w:szCs w:val="20"/>
          <w:lang w:val="it-IT"/>
        </w:rPr>
        <w:t xml:space="preserve">anche </w:t>
      </w:r>
      <w:r w:rsidR="00851441" w:rsidRPr="00294C6C">
        <w:rPr>
          <w:rFonts w:cs="Times New Roman"/>
          <w:sz w:val="20"/>
          <w:szCs w:val="20"/>
          <w:lang w:val="it-IT"/>
        </w:rPr>
        <w:t>nella cassaforma interna</w:t>
      </w:r>
      <w:r w:rsidRPr="00294C6C">
        <w:rPr>
          <w:rFonts w:cs="Times New Roman"/>
          <w:sz w:val="20"/>
          <w:szCs w:val="20"/>
          <w:lang w:val="it-IT"/>
        </w:rPr>
        <w:t>, ha consentito di ottimizzare l’impiego del materiale</w:t>
      </w:r>
      <w:r w:rsidR="00851441" w:rsidRPr="00294C6C">
        <w:rPr>
          <w:rFonts w:cs="Times New Roman"/>
          <w:sz w:val="20"/>
          <w:szCs w:val="20"/>
          <w:lang w:val="it-IT"/>
        </w:rPr>
        <w:t>.</w:t>
      </w: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 xml:space="preserve">Questo sistema </w:t>
      </w:r>
      <w:r w:rsidRPr="00294C6C">
        <w:rPr>
          <w:rFonts w:cs="Times New Roman"/>
          <w:sz w:val="20"/>
          <w:szCs w:val="20"/>
          <w:lang w:val="it-IT"/>
        </w:rPr>
        <w:t xml:space="preserve">ha facilitato l’adattamento in </w:t>
      </w:r>
      <w:r w:rsidR="00851441" w:rsidRPr="00294C6C">
        <w:rPr>
          <w:rFonts w:cs="Times New Roman"/>
          <w:sz w:val="20"/>
          <w:szCs w:val="20"/>
          <w:lang w:val="it-IT"/>
        </w:rPr>
        <w:t>altezza della cassaforma inter</w:t>
      </w:r>
      <w:r w:rsidR="008C0B54" w:rsidRPr="00294C6C">
        <w:rPr>
          <w:rFonts w:cs="Times New Roman"/>
          <w:sz w:val="20"/>
          <w:szCs w:val="20"/>
          <w:lang w:val="it-IT"/>
        </w:rPr>
        <w:t xml:space="preserve">na del carro, in particolare </w:t>
      </w:r>
      <w:r w:rsidR="00851441" w:rsidRPr="00294C6C">
        <w:rPr>
          <w:rFonts w:cs="Times New Roman"/>
          <w:sz w:val="20"/>
          <w:szCs w:val="20"/>
          <w:lang w:val="it-IT"/>
        </w:rPr>
        <w:t>per la modifica dell'inclinazione trasversale.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spacing w:line="260" w:lineRule="auto"/>
        <w:rPr>
          <w:rFonts w:cs="Times New Roman"/>
          <w:b/>
          <w:sz w:val="20"/>
          <w:szCs w:val="20"/>
          <w:lang w:val="it-IT"/>
        </w:rPr>
      </w:pPr>
      <w:r w:rsidRPr="00294C6C">
        <w:rPr>
          <w:rFonts w:cs="Times New Roman"/>
          <w:b/>
          <w:sz w:val="20"/>
          <w:szCs w:val="20"/>
          <w:lang w:val="it-IT"/>
        </w:rPr>
        <w:t>Impiego al limite</w:t>
      </w:r>
    </w:p>
    <w:p w:rsidR="00851441" w:rsidRPr="00294C6C" w:rsidRDefault="008C0B54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>Anche per le pile sono stati impiegati sistemi</w:t>
      </w:r>
      <w:r w:rsidR="00851441" w:rsidRPr="00294C6C">
        <w:rPr>
          <w:rFonts w:cs="Times New Roman"/>
          <w:sz w:val="20"/>
          <w:szCs w:val="20"/>
          <w:lang w:val="it-IT"/>
        </w:rPr>
        <w:t xml:space="preserve"> Doka</w:t>
      </w:r>
      <w:r w:rsidRPr="00294C6C">
        <w:rPr>
          <w:rFonts w:cs="Times New Roman"/>
          <w:sz w:val="20"/>
          <w:szCs w:val="20"/>
          <w:lang w:val="it-IT"/>
        </w:rPr>
        <w:t xml:space="preserve">: </w:t>
      </w:r>
      <w:r w:rsidR="00851441" w:rsidRPr="00294C6C">
        <w:rPr>
          <w:rFonts w:cs="Times New Roman"/>
          <w:sz w:val="20"/>
          <w:szCs w:val="20"/>
          <w:lang w:val="it-IT"/>
        </w:rPr>
        <w:t>cassaforma rampante MF240</w:t>
      </w:r>
      <w:r w:rsidR="00523087" w:rsidRPr="00294C6C">
        <w:rPr>
          <w:rFonts w:cs="Times New Roman"/>
          <w:sz w:val="20"/>
          <w:szCs w:val="20"/>
          <w:lang w:val="it-IT"/>
        </w:rPr>
        <w:t>, movimentata</w:t>
      </w:r>
      <w:r w:rsidR="00851441" w:rsidRPr="00294C6C">
        <w:rPr>
          <w:rFonts w:cs="Times New Roman"/>
          <w:sz w:val="20"/>
          <w:szCs w:val="20"/>
          <w:lang w:val="it-IT"/>
        </w:rPr>
        <w:t xml:space="preserve"> con gru</w:t>
      </w:r>
      <w:r w:rsidR="00523087" w:rsidRPr="00294C6C">
        <w:rPr>
          <w:rFonts w:cs="Times New Roman"/>
          <w:sz w:val="20"/>
          <w:szCs w:val="20"/>
          <w:lang w:val="it-IT"/>
        </w:rPr>
        <w:t>,</w:t>
      </w:r>
      <w:r w:rsidR="00851441" w:rsidRPr="00294C6C">
        <w:rPr>
          <w:rFonts w:cs="Times New Roman"/>
          <w:sz w:val="20"/>
          <w:szCs w:val="20"/>
          <w:lang w:val="it-IT"/>
        </w:rPr>
        <w:t xml:space="preserve"> e cassaforma a telaio </w:t>
      </w:r>
      <w:proofErr w:type="spellStart"/>
      <w:r w:rsidR="00851441" w:rsidRPr="00294C6C">
        <w:rPr>
          <w:rFonts w:cs="Times New Roman"/>
          <w:sz w:val="20"/>
          <w:szCs w:val="20"/>
          <w:lang w:val="it-IT"/>
        </w:rPr>
        <w:t>Framax</w:t>
      </w:r>
      <w:proofErr w:type="spellEnd"/>
      <w:r w:rsidR="00851441" w:rsidRPr="00294C6C">
        <w:rPr>
          <w:rFonts w:cs="Times New Roman"/>
          <w:sz w:val="20"/>
          <w:szCs w:val="20"/>
          <w:lang w:val="it-IT"/>
        </w:rPr>
        <w:t xml:space="preserve"> </w:t>
      </w:r>
      <w:proofErr w:type="spellStart"/>
      <w:r w:rsidR="00851441" w:rsidRPr="00294C6C">
        <w:rPr>
          <w:rFonts w:cs="Times New Roman"/>
          <w:sz w:val="20"/>
          <w:szCs w:val="20"/>
          <w:lang w:val="it-IT"/>
        </w:rPr>
        <w:t>Xlife</w:t>
      </w:r>
      <w:proofErr w:type="spellEnd"/>
      <w:r w:rsidR="00851441" w:rsidRPr="00294C6C">
        <w:rPr>
          <w:rFonts w:cs="Times New Roman"/>
          <w:sz w:val="20"/>
          <w:szCs w:val="20"/>
          <w:lang w:val="it-IT"/>
        </w:rPr>
        <w:t>.</w:t>
      </w:r>
      <w:r w:rsidRPr="00294C6C">
        <w:rPr>
          <w:rFonts w:cs="Times New Roman"/>
          <w:sz w:val="20"/>
          <w:szCs w:val="20"/>
          <w:lang w:val="it-IT"/>
        </w:rPr>
        <w:t xml:space="preserve"> 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te</w:t>
      </w:r>
      <w:r w:rsidR="0060619B" w:rsidRPr="00294C6C">
        <w:rPr>
          <w:rFonts w:cs="Times New Roman"/>
          <w:sz w:val="20"/>
          <w:szCs w:val="20"/>
          <w:lang w:val="it-IT"/>
        </w:rPr>
        <w:t>sta</w:t>
      </w:r>
      <w:r w:rsidR="00A13EFB" w:rsidRPr="00294C6C">
        <w:rPr>
          <w:rFonts w:cs="Times New Roman"/>
          <w:sz w:val="20"/>
          <w:szCs w:val="20"/>
          <w:lang w:val="it-IT"/>
        </w:rPr>
        <w:t>pila</w:t>
      </w:r>
      <w:proofErr w:type="spellEnd"/>
      <w:r w:rsidR="00A13EFB" w:rsidRPr="00294C6C">
        <w:rPr>
          <w:rFonts w:cs="Times New Roman"/>
          <w:sz w:val="20"/>
          <w:szCs w:val="20"/>
          <w:lang w:val="it-IT"/>
        </w:rPr>
        <w:t xml:space="preserve"> sono state realizzati</w:t>
      </w:r>
      <w:r w:rsidRPr="00294C6C">
        <w:rPr>
          <w:rFonts w:cs="Times New Roman"/>
          <w:sz w:val="20"/>
          <w:szCs w:val="20"/>
          <w:lang w:val="it-IT"/>
        </w:rPr>
        <w:t xml:space="preserve"> con</w:t>
      </w:r>
      <w:r w:rsidR="00851441" w:rsidRPr="00294C6C">
        <w:rPr>
          <w:rFonts w:cs="Times New Roman"/>
          <w:sz w:val="20"/>
          <w:szCs w:val="20"/>
          <w:lang w:val="it-IT"/>
        </w:rPr>
        <w:t xml:space="preserve"> </w:t>
      </w:r>
      <w:proofErr w:type="spellStart"/>
      <w:r w:rsidR="00851441" w:rsidRPr="00294C6C">
        <w:rPr>
          <w:rFonts w:cs="Times New Roman"/>
          <w:sz w:val="20"/>
          <w:szCs w:val="20"/>
          <w:lang w:val="it-IT"/>
        </w:rPr>
        <w:t>puntellazioni</w:t>
      </w:r>
      <w:proofErr w:type="spellEnd"/>
      <w:r w:rsidR="00851441" w:rsidRPr="00294C6C">
        <w:rPr>
          <w:rFonts w:cs="Times New Roman"/>
          <w:sz w:val="20"/>
          <w:szCs w:val="20"/>
          <w:lang w:val="it-IT"/>
        </w:rPr>
        <w:t xml:space="preserve"> </w:t>
      </w:r>
      <w:r w:rsidR="000E20AA" w:rsidRPr="00294C6C">
        <w:rPr>
          <w:rFonts w:cs="Times New Roman"/>
          <w:sz w:val="20"/>
          <w:szCs w:val="20"/>
          <w:lang w:val="it-IT"/>
        </w:rPr>
        <w:t xml:space="preserve">per getti contro terra </w:t>
      </w:r>
      <w:r w:rsidR="00851441" w:rsidRPr="00294C6C">
        <w:rPr>
          <w:rFonts w:cs="Times New Roman"/>
          <w:sz w:val="20"/>
          <w:szCs w:val="20"/>
          <w:lang w:val="it-IT"/>
        </w:rPr>
        <w:t>posizionate in orizzontale.</w:t>
      </w: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 xml:space="preserve">Doka Croazia, in collaborazione con il </w:t>
      </w:r>
      <w:proofErr w:type="spellStart"/>
      <w:r w:rsidR="00851441" w:rsidRPr="00294C6C">
        <w:rPr>
          <w:rFonts w:cs="Times New Roman"/>
          <w:sz w:val="20"/>
          <w:szCs w:val="20"/>
          <w:lang w:val="it-IT"/>
        </w:rPr>
        <w:t>Competence</w:t>
      </w:r>
      <w:proofErr w:type="spellEnd"/>
      <w:r w:rsidR="00851441" w:rsidRPr="00294C6C">
        <w:rPr>
          <w:rFonts w:cs="Times New Roman"/>
          <w:sz w:val="20"/>
          <w:szCs w:val="20"/>
          <w:lang w:val="it-IT"/>
        </w:rPr>
        <w:t xml:space="preserve"> Center Ponti, ha dimostrato </w:t>
      </w:r>
      <w:r w:rsidRPr="00294C6C">
        <w:rPr>
          <w:rFonts w:cs="Times New Roman"/>
          <w:sz w:val="20"/>
          <w:szCs w:val="20"/>
          <w:lang w:val="it-IT"/>
        </w:rPr>
        <w:t>non solo p</w:t>
      </w:r>
      <w:r w:rsidR="00851441" w:rsidRPr="00294C6C">
        <w:rPr>
          <w:rFonts w:cs="Times New Roman"/>
          <w:sz w:val="20"/>
          <w:szCs w:val="20"/>
          <w:lang w:val="it-IT"/>
        </w:rPr>
        <w:t xml:space="preserve">recisione progettuale </w:t>
      </w:r>
      <w:r w:rsidRPr="00294C6C">
        <w:rPr>
          <w:rFonts w:cs="Times New Roman"/>
          <w:sz w:val="20"/>
          <w:szCs w:val="20"/>
          <w:lang w:val="it-IT"/>
        </w:rPr>
        <w:t>ma anche</w:t>
      </w:r>
      <w:r w:rsidR="00851441" w:rsidRPr="00294C6C">
        <w:rPr>
          <w:rFonts w:cs="Times New Roman"/>
          <w:sz w:val="20"/>
          <w:szCs w:val="20"/>
          <w:lang w:val="it-IT"/>
        </w:rPr>
        <w:t xml:space="preserve"> grande creatività nel </w:t>
      </w:r>
      <w:r w:rsidR="00A13EFB" w:rsidRPr="00294C6C">
        <w:rPr>
          <w:rFonts w:cs="Times New Roman"/>
          <w:sz w:val="20"/>
          <w:szCs w:val="20"/>
          <w:lang w:val="it-IT"/>
        </w:rPr>
        <w:t>posizionare i</w:t>
      </w:r>
      <w:r w:rsidR="00851441" w:rsidRPr="00294C6C">
        <w:rPr>
          <w:rFonts w:cs="Times New Roman"/>
          <w:sz w:val="20"/>
          <w:szCs w:val="20"/>
          <w:lang w:val="it-IT"/>
        </w:rPr>
        <w:t xml:space="preserve"> </w:t>
      </w:r>
      <w:r w:rsidR="00A13EFB" w:rsidRPr="00294C6C">
        <w:rPr>
          <w:rFonts w:cs="Times New Roman"/>
          <w:sz w:val="20"/>
          <w:szCs w:val="20"/>
          <w:lang w:val="it-IT"/>
        </w:rPr>
        <w:t>carri</w:t>
      </w:r>
      <w:r w:rsidR="00851441" w:rsidRPr="00294C6C">
        <w:rPr>
          <w:rFonts w:cs="Times New Roman"/>
          <w:sz w:val="20"/>
          <w:szCs w:val="20"/>
          <w:lang w:val="it-IT"/>
        </w:rPr>
        <w:t xml:space="preserve"> a</w:t>
      </w:r>
      <w:r w:rsidR="00A13EFB" w:rsidRPr="00294C6C">
        <w:rPr>
          <w:rFonts w:cs="Times New Roman"/>
          <w:sz w:val="20"/>
          <w:szCs w:val="20"/>
          <w:lang w:val="it-IT"/>
        </w:rPr>
        <w:t>d</w:t>
      </w:r>
      <w:r w:rsidR="00851441" w:rsidRPr="00294C6C">
        <w:rPr>
          <w:rFonts w:cs="Times New Roman"/>
          <w:sz w:val="20"/>
          <w:szCs w:val="20"/>
          <w:lang w:val="it-IT"/>
        </w:rPr>
        <w:t xml:space="preserve"> un'altezza di 81 m</w:t>
      </w:r>
      <w:r w:rsidR="00851441" w:rsidRPr="00294C6C">
        <w:rPr>
          <w:rFonts w:cs="Times New Roman"/>
          <w:color w:val="1F497D" w:themeColor="text2"/>
          <w:sz w:val="20"/>
          <w:szCs w:val="20"/>
          <w:lang w:val="it-IT"/>
        </w:rPr>
        <w:t>.</w:t>
      </w:r>
      <w:r w:rsidR="00A13EFB" w:rsidRPr="00294C6C">
        <w:rPr>
          <w:rFonts w:cs="Times New Roman"/>
          <w:color w:val="1F497D" w:themeColor="text2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>Elementi di una gru a portale collocati sulla cassaforma hanno sollevato pezzo per pezzo la griglia di fondo del carro per conci a sbalzo.</w:t>
      </w:r>
      <w:r w:rsidR="00A13EFB" w:rsidRPr="00294C6C">
        <w:rPr>
          <w:rFonts w:cs="Times New Roman"/>
          <w:sz w:val="20"/>
          <w:szCs w:val="20"/>
          <w:lang w:val="it-IT"/>
        </w:rPr>
        <w:t xml:space="preserve"> </w:t>
      </w:r>
      <w:r w:rsidR="004D629C" w:rsidRPr="00294C6C">
        <w:rPr>
          <w:rFonts w:cs="Times New Roman"/>
          <w:sz w:val="20"/>
          <w:szCs w:val="20"/>
          <w:lang w:val="it-IT"/>
        </w:rPr>
        <w:t xml:space="preserve">Generalmente il cassero di fondo viene </w:t>
      </w:r>
      <w:r w:rsidR="004D629C" w:rsidRPr="00294C6C">
        <w:rPr>
          <w:rFonts w:cs="Times New Roman"/>
          <w:sz w:val="20"/>
          <w:szCs w:val="20"/>
          <w:lang w:val="it-IT"/>
        </w:rPr>
        <w:lastRenderedPageBreak/>
        <w:t xml:space="preserve">sollevato per mezzo </w:t>
      </w:r>
      <w:r w:rsidR="004D390B" w:rsidRPr="00294C6C">
        <w:rPr>
          <w:rFonts w:cs="Times New Roman"/>
          <w:sz w:val="20"/>
          <w:szCs w:val="20"/>
          <w:lang w:val="it-IT"/>
        </w:rPr>
        <w:t xml:space="preserve">di martinetti </w:t>
      </w:r>
      <w:r w:rsidR="004D629C" w:rsidRPr="00294C6C">
        <w:rPr>
          <w:rFonts w:cs="Times New Roman"/>
          <w:sz w:val="20"/>
          <w:szCs w:val="20"/>
          <w:lang w:val="it-IT"/>
        </w:rPr>
        <w:t>ubi</w:t>
      </w:r>
      <w:r w:rsidR="004D390B" w:rsidRPr="00294C6C">
        <w:rPr>
          <w:rFonts w:cs="Times New Roman"/>
          <w:sz w:val="20"/>
          <w:szCs w:val="20"/>
          <w:lang w:val="it-IT"/>
        </w:rPr>
        <w:t>cati sulla struttura/</w:t>
      </w:r>
      <w:proofErr w:type="spellStart"/>
      <w:r w:rsidR="004D390B" w:rsidRPr="00294C6C">
        <w:rPr>
          <w:rFonts w:cs="Times New Roman"/>
          <w:sz w:val="20"/>
          <w:szCs w:val="20"/>
          <w:lang w:val="it-IT"/>
        </w:rPr>
        <w:t>cantilever</w:t>
      </w:r>
      <w:proofErr w:type="spellEnd"/>
      <w:r w:rsidR="004D390B" w:rsidRPr="00294C6C">
        <w:rPr>
          <w:rFonts w:cs="Times New Roman"/>
          <w:sz w:val="20"/>
          <w:szCs w:val="20"/>
          <w:lang w:val="it-IT"/>
        </w:rPr>
        <w:t xml:space="preserve">;  il quale può essere </w:t>
      </w:r>
      <w:r w:rsidR="004D629C" w:rsidRPr="00294C6C">
        <w:rPr>
          <w:rFonts w:cs="Times New Roman"/>
          <w:sz w:val="20"/>
          <w:szCs w:val="20"/>
          <w:lang w:val="it-IT"/>
        </w:rPr>
        <w:t xml:space="preserve">collegato alla cassaforma una volta arrivato sul </w:t>
      </w:r>
      <w:proofErr w:type="spellStart"/>
      <w:r w:rsidR="004D629C" w:rsidRPr="00294C6C">
        <w:rPr>
          <w:rFonts w:cs="Times New Roman"/>
          <w:sz w:val="20"/>
          <w:szCs w:val="20"/>
          <w:lang w:val="it-IT"/>
        </w:rPr>
        <w:t>testapila</w:t>
      </w:r>
      <w:proofErr w:type="spellEnd"/>
      <w:r w:rsidR="00851441" w:rsidRPr="00294C6C">
        <w:rPr>
          <w:rFonts w:cs="Times New Roman"/>
          <w:sz w:val="20"/>
          <w:szCs w:val="20"/>
          <w:lang w:val="it-IT"/>
        </w:rPr>
        <w:t>.</w:t>
      </w:r>
      <w:r w:rsidR="00A13EFB" w:rsidRPr="00294C6C">
        <w:rPr>
          <w:rFonts w:cs="Times New Roman"/>
          <w:sz w:val="20"/>
          <w:szCs w:val="20"/>
          <w:lang w:val="it-IT"/>
        </w:rPr>
        <w:t xml:space="preserve"> </w:t>
      </w:r>
    </w:p>
    <w:p w:rsidR="00851441" w:rsidRPr="00294C6C" w:rsidRDefault="00851441">
      <w:pPr>
        <w:spacing w:line="264" w:lineRule="auto"/>
        <w:rPr>
          <w:rFonts w:cs="Times New Roman"/>
          <w:sz w:val="20"/>
          <w:szCs w:val="20"/>
          <w:lang w:val="it-IT"/>
        </w:rPr>
      </w:pPr>
    </w:p>
    <w:p w:rsidR="001518AF" w:rsidRPr="00294C6C" w:rsidRDefault="00851441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Lo spazio esiguo </w:t>
      </w:r>
      <w:r w:rsidR="00E84E8E" w:rsidRPr="00294C6C">
        <w:rPr>
          <w:rFonts w:cs="Times New Roman"/>
          <w:sz w:val="20"/>
          <w:szCs w:val="20"/>
          <w:lang w:val="it-IT"/>
        </w:rPr>
        <w:t xml:space="preserve">sui </w:t>
      </w:r>
      <w:proofErr w:type="spellStart"/>
      <w:r w:rsidR="00E84E8E" w:rsidRPr="00294C6C">
        <w:rPr>
          <w:rFonts w:cs="Times New Roman"/>
          <w:sz w:val="20"/>
          <w:szCs w:val="20"/>
          <w:lang w:val="it-IT"/>
        </w:rPr>
        <w:t>testa</w:t>
      </w:r>
      <w:r w:rsidR="00A13EFB" w:rsidRPr="00294C6C">
        <w:rPr>
          <w:rFonts w:cs="Times New Roman"/>
          <w:sz w:val="20"/>
          <w:szCs w:val="20"/>
          <w:lang w:val="it-IT"/>
        </w:rPr>
        <w:t>pila</w:t>
      </w:r>
      <w:proofErr w:type="spellEnd"/>
      <w:r w:rsidR="00A13EFB" w:rsidRPr="00294C6C">
        <w:rPr>
          <w:rFonts w:cs="Times New Roman"/>
          <w:sz w:val="20"/>
          <w:szCs w:val="20"/>
          <w:lang w:val="it-IT"/>
        </w:rPr>
        <w:t>, lunghi solo</w:t>
      </w:r>
      <w:r w:rsidRPr="00294C6C">
        <w:rPr>
          <w:rFonts w:cs="Times New Roman"/>
          <w:sz w:val="20"/>
          <w:szCs w:val="20"/>
          <w:lang w:val="it-IT"/>
        </w:rPr>
        <w:t xml:space="preserve"> 8 m</w:t>
      </w:r>
      <w:r w:rsidR="00A13EFB" w:rsidRPr="00294C6C">
        <w:rPr>
          <w:rFonts w:cs="Times New Roman"/>
          <w:sz w:val="20"/>
          <w:szCs w:val="20"/>
          <w:lang w:val="it-IT"/>
        </w:rPr>
        <w:t>,</w:t>
      </w:r>
      <w:r w:rsidRPr="00294C6C">
        <w:rPr>
          <w:rFonts w:cs="Times New Roman"/>
          <w:sz w:val="20"/>
          <w:szCs w:val="20"/>
          <w:lang w:val="it-IT"/>
        </w:rPr>
        <w:t xml:space="preserve"> ha imposto una soluzione speciale.</w:t>
      </w:r>
      <w:r w:rsidR="00A13EFB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Mentre </w:t>
      </w:r>
      <w:r w:rsidR="00A13EFB" w:rsidRPr="00294C6C">
        <w:rPr>
          <w:rFonts w:cs="Times New Roman"/>
          <w:sz w:val="20"/>
          <w:szCs w:val="20"/>
          <w:lang w:val="it-IT"/>
        </w:rPr>
        <w:t xml:space="preserve">normalmente </w:t>
      </w:r>
      <w:r w:rsidRPr="00294C6C">
        <w:rPr>
          <w:rFonts w:cs="Times New Roman"/>
          <w:sz w:val="20"/>
          <w:szCs w:val="20"/>
          <w:lang w:val="it-IT"/>
        </w:rPr>
        <w:t xml:space="preserve">i </w:t>
      </w:r>
      <w:r w:rsidR="00A13EFB" w:rsidRPr="00294C6C">
        <w:rPr>
          <w:rFonts w:cs="Times New Roman"/>
          <w:sz w:val="20"/>
          <w:szCs w:val="20"/>
          <w:lang w:val="it-IT"/>
        </w:rPr>
        <w:t>carri</w:t>
      </w:r>
      <w:r w:rsidRPr="00294C6C">
        <w:rPr>
          <w:rFonts w:cs="Times New Roman"/>
          <w:sz w:val="20"/>
          <w:szCs w:val="20"/>
          <w:lang w:val="it-IT"/>
        </w:rPr>
        <w:t xml:space="preserve"> 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casseratura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A13EFB" w:rsidRPr="00294C6C">
        <w:rPr>
          <w:rFonts w:cs="Times New Roman"/>
          <w:sz w:val="20"/>
          <w:szCs w:val="20"/>
          <w:lang w:val="it-IT"/>
        </w:rPr>
        <w:t>partono</w:t>
      </w:r>
      <w:r w:rsidRPr="00294C6C">
        <w:rPr>
          <w:rFonts w:cs="Times New Roman"/>
          <w:sz w:val="20"/>
          <w:szCs w:val="20"/>
          <w:lang w:val="it-IT"/>
        </w:rPr>
        <w:t xml:space="preserve"> simmetricamente in due direzioni, </w:t>
      </w:r>
      <w:r w:rsidR="00A13EFB" w:rsidRPr="00294C6C">
        <w:rPr>
          <w:rFonts w:cs="Times New Roman"/>
          <w:sz w:val="20"/>
          <w:szCs w:val="20"/>
          <w:lang w:val="it-IT"/>
        </w:rPr>
        <w:t xml:space="preserve">secondo il principio dei conci a sbalzo, </w:t>
      </w:r>
      <w:r w:rsidRPr="00294C6C">
        <w:rPr>
          <w:rFonts w:cs="Times New Roman"/>
          <w:sz w:val="20"/>
          <w:szCs w:val="20"/>
          <w:lang w:val="it-IT"/>
        </w:rPr>
        <w:t xml:space="preserve">gli esperti di statica Doka hanno </w:t>
      </w:r>
      <w:r w:rsidR="00A13EFB" w:rsidRPr="00294C6C">
        <w:rPr>
          <w:rFonts w:cs="Times New Roman"/>
          <w:sz w:val="20"/>
          <w:szCs w:val="20"/>
          <w:lang w:val="it-IT"/>
        </w:rPr>
        <w:t>progettato</w:t>
      </w:r>
      <w:r w:rsidRPr="00294C6C">
        <w:rPr>
          <w:rFonts w:cs="Times New Roman"/>
          <w:sz w:val="20"/>
          <w:szCs w:val="20"/>
          <w:lang w:val="it-IT"/>
        </w:rPr>
        <w:t xml:space="preserve"> una soluzione speciale per questo progetto.</w:t>
      </w:r>
      <w:r w:rsidR="00A13EFB" w:rsidRPr="00294C6C">
        <w:rPr>
          <w:rFonts w:cs="Times New Roman"/>
          <w:sz w:val="20"/>
          <w:szCs w:val="20"/>
          <w:lang w:val="it-IT"/>
        </w:rPr>
        <w:t xml:space="preserve"> Sulla base d</w:t>
      </w:r>
      <w:r w:rsidRPr="00294C6C">
        <w:rPr>
          <w:rFonts w:cs="Times New Roman"/>
          <w:sz w:val="20"/>
          <w:szCs w:val="20"/>
          <w:lang w:val="it-IT"/>
        </w:rPr>
        <w:t>i calcoli precisi, uno dei carri</w:t>
      </w:r>
      <w:r w:rsidR="00A13EFB" w:rsidRPr="00294C6C">
        <w:rPr>
          <w:rFonts w:cs="Times New Roman"/>
          <w:sz w:val="20"/>
          <w:szCs w:val="20"/>
          <w:lang w:val="it-IT"/>
        </w:rPr>
        <w:t xml:space="preserve"> per co</w:t>
      </w:r>
      <w:r w:rsidR="004D390B" w:rsidRPr="00294C6C">
        <w:rPr>
          <w:rFonts w:cs="Times New Roman"/>
          <w:sz w:val="20"/>
          <w:szCs w:val="20"/>
          <w:lang w:val="it-IT"/>
        </w:rPr>
        <w:t xml:space="preserve">nci a sbalzo inizia dal </w:t>
      </w:r>
      <w:proofErr w:type="spellStart"/>
      <w:r w:rsidR="004D390B" w:rsidRPr="00294C6C">
        <w:rPr>
          <w:rFonts w:cs="Times New Roman"/>
          <w:sz w:val="20"/>
          <w:szCs w:val="20"/>
          <w:lang w:val="it-IT"/>
        </w:rPr>
        <w:t>testa</w:t>
      </w:r>
      <w:r w:rsidR="00A13EFB" w:rsidRPr="00294C6C">
        <w:rPr>
          <w:rFonts w:cs="Times New Roman"/>
          <w:sz w:val="20"/>
          <w:szCs w:val="20"/>
          <w:lang w:val="it-IT"/>
        </w:rPr>
        <w:t>pila</w:t>
      </w:r>
      <w:proofErr w:type="spellEnd"/>
      <w:r w:rsidRPr="00294C6C">
        <w:rPr>
          <w:rFonts w:cs="Times New Roman"/>
          <w:sz w:val="20"/>
          <w:szCs w:val="20"/>
          <w:lang w:val="it-IT"/>
        </w:rPr>
        <w:t>.</w:t>
      </w:r>
      <w:r w:rsidR="00A13EFB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Quindi c'è abbastanza spazio per montare il secondo </w:t>
      </w:r>
      <w:r w:rsidR="00A13EFB" w:rsidRPr="00294C6C">
        <w:rPr>
          <w:rFonts w:cs="Times New Roman"/>
          <w:sz w:val="20"/>
          <w:szCs w:val="20"/>
          <w:lang w:val="it-IT"/>
        </w:rPr>
        <w:t>carro</w:t>
      </w:r>
      <w:r w:rsidRPr="00294C6C">
        <w:rPr>
          <w:rFonts w:cs="Times New Roman"/>
          <w:sz w:val="20"/>
          <w:szCs w:val="20"/>
          <w:lang w:val="it-IT"/>
        </w:rPr>
        <w:t xml:space="preserve"> ed </w:t>
      </w:r>
      <w:r w:rsidR="004D390B" w:rsidRPr="00294C6C">
        <w:rPr>
          <w:rFonts w:cs="Times New Roman"/>
          <w:sz w:val="20"/>
          <w:szCs w:val="20"/>
          <w:lang w:val="it-IT"/>
        </w:rPr>
        <w:t xml:space="preserve">agganciarlo al primo </w:t>
      </w:r>
      <w:r w:rsidR="006D7CD8" w:rsidRPr="00294C6C">
        <w:rPr>
          <w:rFonts w:cs="Times New Roman"/>
          <w:sz w:val="20"/>
          <w:szCs w:val="20"/>
          <w:lang w:val="it-IT"/>
        </w:rPr>
        <w:t>controbilanciandolo.</w:t>
      </w:r>
    </w:p>
    <w:p w:rsidR="00851441" w:rsidRPr="00294C6C" w:rsidRDefault="00A13EFB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851441" w:rsidRPr="00294C6C">
        <w:rPr>
          <w:rFonts w:cs="Times New Roman"/>
          <w:sz w:val="20"/>
          <w:szCs w:val="20"/>
          <w:lang w:val="it-IT"/>
        </w:rPr>
        <w:t>Per evitare la procedura di sollevamento, i carri tornano indietro</w:t>
      </w:r>
      <w:r w:rsidRPr="00294C6C">
        <w:rPr>
          <w:rFonts w:cs="Times New Roman"/>
          <w:sz w:val="20"/>
          <w:szCs w:val="20"/>
          <w:lang w:val="it-IT"/>
        </w:rPr>
        <w:t xml:space="preserve"> dopo avere realizzato la campata</w:t>
      </w:r>
      <w:r w:rsidR="00851441" w:rsidRPr="00294C6C">
        <w:rPr>
          <w:rFonts w:cs="Times New Roman"/>
          <w:sz w:val="20"/>
          <w:szCs w:val="20"/>
          <w:lang w:val="it-IT"/>
        </w:rPr>
        <w:t xml:space="preserve">, </w:t>
      </w:r>
      <w:r w:rsidRPr="00294C6C">
        <w:rPr>
          <w:rFonts w:cs="Times New Roman"/>
          <w:sz w:val="20"/>
          <w:szCs w:val="20"/>
          <w:lang w:val="it-IT"/>
        </w:rPr>
        <w:t xml:space="preserve">e </w:t>
      </w:r>
      <w:r w:rsidR="00851441" w:rsidRPr="00294C6C">
        <w:rPr>
          <w:rFonts w:cs="Times New Roman"/>
          <w:sz w:val="20"/>
          <w:szCs w:val="20"/>
          <w:lang w:val="it-IT"/>
        </w:rPr>
        <w:t xml:space="preserve">vengono spostati </w:t>
      </w:r>
      <w:r w:rsidRPr="00294C6C">
        <w:rPr>
          <w:rFonts w:cs="Times New Roman"/>
          <w:sz w:val="20"/>
          <w:szCs w:val="20"/>
          <w:lang w:val="it-IT"/>
        </w:rPr>
        <w:t>per essere</w:t>
      </w:r>
      <w:r w:rsidR="00851441" w:rsidRPr="00294C6C">
        <w:rPr>
          <w:rFonts w:cs="Times New Roman"/>
          <w:sz w:val="20"/>
          <w:szCs w:val="20"/>
          <w:lang w:val="it-IT"/>
        </w:rPr>
        <w:t xml:space="preserve"> impiegati </w:t>
      </w:r>
      <w:r w:rsidR="004D390B" w:rsidRPr="00294C6C">
        <w:rPr>
          <w:rFonts w:cs="Times New Roman"/>
          <w:sz w:val="20"/>
          <w:szCs w:val="20"/>
          <w:lang w:val="it-IT"/>
        </w:rPr>
        <w:t>sulla pila successiva</w:t>
      </w:r>
      <w:r w:rsidR="00851441" w:rsidRPr="00294C6C">
        <w:rPr>
          <w:rFonts w:cs="Times New Roman"/>
          <w:sz w:val="20"/>
          <w:szCs w:val="20"/>
          <w:lang w:val="it-IT"/>
        </w:rPr>
        <w:t>.</w:t>
      </w:r>
    </w:p>
    <w:p w:rsidR="00851441" w:rsidRPr="00294C6C" w:rsidRDefault="00851441">
      <w:pPr>
        <w:spacing w:line="264" w:lineRule="auto"/>
        <w:rPr>
          <w:rFonts w:cs="Times New Roman"/>
          <w:b/>
          <w:sz w:val="20"/>
          <w:szCs w:val="20"/>
          <w:lang w:val="it-IT"/>
        </w:rPr>
      </w:pPr>
    </w:p>
    <w:p w:rsidR="00851441" w:rsidRPr="00294C6C" w:rsidRDefault="00851441">
      <w:pPr>
        <w:spacing w:line="260" w:lineRule="auto"/>
        <w:rPr>
          <w:rFonts w:cs="Times New Roman"/>
          <w:b/>
          <w:sz w:val="20"/>
          <w:szCs w:val="20"/>
          <w:lang w:val="it-IT"/>
        </w:rPr>
      </w:pPr>
      <w:r w:rsidRPr="00294C6C">
        <w:rPr>
          <w:rFonts w:cs="Times New Roman"/>
          <w:b/>
          <w:sz w:val="20"/>
          <w:szCs w:val="20"/>
          <w:lang w:val="it-IT"/>
        </w:rPr>
        <w:t>Collaborazione oltre i confini</w:t>
      </w:r>
    </w:p>
    <w:p w:rsidR="00851441" w:rsidRPr="00294C6C" w:rsidRDefault="00851441">
      <w:pPr>
        <w:spacing w:line="260" w:lineRule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Il </w:t>
      </w:r>
      <w:r w:rsidR="00E77CB0" w:rsidRPr="00294C6C">
        <w:rPr>
          <w:rFonts w:cs="Times New Roman"/>
          <w:sz w:val="20"/>
          <w:szCs w:val="20"/>
          <w:lang w:val="it-IT"/>
        </w:rPr>
        <w:t>carro</w:t>
      </w:r>
      <w:r w:rsidRPr="00294C6C">
        <w:rPr>
          <w:rFonts w:cs="Times New Roman"/>
          <w:sz w:val="20"/>
          <w:szCs w:val="20"/>
          <w:lang w:val="it-IT"/>
        </w:rPr>
        <w:t xml:space="preserve"> di </w:t>
      </w:r>
      <w:proofErr w:type="spellStart"/>
      <w:r w:rsidRPr="00294C6C">
        <w:rPr>
          <w:rFonts w:cs="Times New Roman"/>
          <w:sz w:val="20"/>
          <w:szCs w:val="20"/>
          <w:lang w:val="it-IT"/>
        </w:rPr>
        <w:t>casseratura</w:t>
      </w:r>
      <w:proofErr w:type="spellEnd"/>
      <w:r w:rsidRPr="00294C6C">
        <w:rPr>
          <w:rFonts w:cs="Times New Roman"/>
          <w:sz w:val="20"/>
          <w:szCs w:val="20"/>
          <w:lang w:val="it-IT"/>
        </w:rPr>
        <w:t xml:space="preserve"> è dotato di passerelle con protezioni</w:t>
      </w:r>
      <w:r w:rsidR="00E77CB0" w:rsidRPr="00294C6C">
        <w:rPr>
          <w:rFonts w:cs="Times New Roman"/>
          <w:sz w:val="20"/>
          <w:szCs w:val="20"/>
          <w:lang w:val="it-IT"/>
        </w:rPr>
        <w:t xml:space="preserve"> e</w:t>
      </w:r>
      <w:r w:rsidRPr="00294C6C">
        <w:rPr>
          <w:rFonts w:cs="Times New Roman"/>
          <w:sz w:val="20"/>
          <w:szCs w:val="20"/>
          <w:lang w:val="it-IT"/>
        </w:rPr>
        <w:t xml:space="preserve"> sistemi di accesso sicuri.</w:t>
      </w:r>
      <w:r w:rsidR="00E77CB0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>Questo consente un avanzamento dei lavori in condizioni di sicurezza</w:t>
      </w:r>
      <w:r w:rsidR="00E155C3" w:rsidRPr="00294C6C">
        <w:rPr>
          <w:rFonts w:cs="Times New Roman"/>
          <w:sz w:val="20"/>
          <w:szCs w:val="20"/>
          <w:lang w:val="it-IT"/>
        </w:rPr>
        <w:t xml:space="preserve">, </w:t>
      </w:r>
      <w:r w:rsidRPr="00294C6C">
        <w:rPr>
          <w:rFonts w:cs="Times New Roman"/>
          <w:sz w:val="20"/>
          <w:szCs w:val="20"/>
          <w:lang w:val="it-IT"/>
        </w:rPr>
        <w:t xml:space="preserve"> anche ad altezze elevate.</w:t>
      </w:r>
      <w:r w:rsidR="00E155C3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>Oltre alla progettazione dettagliata della cassaforma</w:t>
      </w:r>
      <w:r w:rsidR="00E155C3" w:rsidRPr="00294C6C">
        <w:rPr>
          <w:rFonts w:cs="Times New Roman"/>
          <w:sz w:val="20"/>
          <w:szCs w:val="20"/>
          <w:lang w:val="it-IT"/>
        </w:rPr>
        <w:t xml:space="preserve">, </w:t>
      </w:r>
      <w:r w:rsidRPr="00294C6C">
        <w:rPr>
          <w:rFonts w:cs="Times New Roman"/>
          <w:sz w:val="20"/>
          <w:szCs w:val="20"/>
          <w:lang w:val="it-IT"/>
        </w:rPr>
        <w:t xml:space="preserve">i tecnici </w:t>
      </w:r>
      <w:r w:rsidR="00E155C3" w:rsidRPr="00294C6C">
        <w:rPr>
          <w:rFonts w:cs="Times New Roman"/>
          <w:sz w:val="20"/>
          <w:szCs w:val="20"/>
          <w:lang w:val="it-IT"/>
        </w:rPr>
        <w:t xml:space="preserve">Doka hanno garantito </w:t>
      </w:r>
      <w:r w:rsidRPr="00294C6C">
        <w:rPr>
          <w:rFonts w:cs="Times New Roman"/>
          <w:sz w:val="20"/>
          <w:szCs w:val="20"/>
          <w:lang w:val="it-IT"/>
        </w:rPr>
        <w:t xml:space="preserve"> </w:t>
      </w:r>
      <w:r w:rsidR="00E155C3" w:rsidRPr="00294C6C">
        <w:rPr>
          <w:rFonts w:cs="Times New Roman"/>
          <w:sz w:val="20"/>
          <w:szCs w:val="20"/>
          <w:lang w:val="it-IT"/>
        </w:rPr>
        <w:t>l’</w:t>
      </w:r>
      <w:r w:rsidRPr="00294C6C">
        <w:rPr>
          <w:rFonts w:cs="Times New Roman"/>
          <w:sz w:val="20"/>
          <w:szCs w:val="20"/>
          <w:lang w:val="it-IT"/>
        </w:rPr>
        <w:t xml:space="preserve">assistenza in </w:t>
      </w:r>
      <w:r w:rsidR="00E155C3" w:rsidRPr="00294C6C">
        <w:rPr>
          <w:rFonts w:cs="Times New Roman"/>
          <w:sz w:val="20"/>
          <w:szCs w:val="20"/>
          <w:lang w:val="it-IT"/>
        </w:rPr>
        <w:t>cantiere,</w:t>
      </w:r>
      <w:r w:rsidRPr="00294C6C">
        <w:rPr>
          <w:rFonts w:cs="Times New Roman"/>
          <w:sz w:val="20"/>
          <w:szCs w:val="20"/>
          <w:lang w:val="it-IT"/>
        </w:rPr>
        <w:t xml:space="preserve"> per un avanzamento dei lavori senza problemi."Collaboriamo con Doka da molti anni.</w:t>
      </w:r>
      <w:r w:rsidR="00E155C3" w:rsidRPr="00294C6C">
        <w:rPr>
          <w:rFonts w:cs="Times New Roman"/>
          <w:sz w:val="20"/>
          <w:szCs w:val="20"/>
          <w:lang w:val="it-IT"/>
        </w:rPr>
        <w:t xml:space="preserve"> </w:t>
      </w:r>
      <w:r w:rsidRPr="00294C6C">
        <w:rPr>
          <w:rFonts w:cs="Times New Roman"/>
          <w:sz w:val="20"/>
          <w:szCs w:val="20"/>
          <w:lang w:val="it-IT"/>
        </w:rPr>
        <w:t xml:space="preserve">Anche questa volta siamo stati in grado di rispettare la tabella di marcia grazie </w:t>
      </w:r>
      <w:r w:rsidR="00E155C3" w:rsidRPr="00294C6C">
        <w:rPr>
          <w:rFonts w:cs="Times New Roman"/>
          <w:sz w:val="20"/>
          <w:szCs w:val="20"/>
          <w:lang w:val="it-IT"/>
        </w:rPr>
        <w:t>alla loro</w:t>
      </w:r>
      <w:r w:rsidRPr="00294C6C">
        <w:rPr>
          <w:rFonts w:cs="Times New Roman"/>
          <w:sz w:val="20"/>
          <w:szCs w:val="20"/>
          <w:lang w:val="it-IT"/>
        </w:rPr>
        <w:t xml:space="preserve"> collaborazione, nonostante i ritardi iniziali" dichiara il responsabile del progetto </w:t>
      </w:r>
      <w:r w:rsidRPr="00294C6C">
        <w:rPr>
          <w:rFonts w:cs="Times New Roman"/>
          <w:b/>
          <w:color w:val="000000"/>
          <w:sz w:val="20"/>
          <w:szCs w:val="20"/>
          <w:lang w:val="it-IT"/>
        </w:rPr>
        <w:t xml:space="preserve">Mario </w:t>
      </w:r>
      <w:proofErr w:type="spellStart"/>
      <w:r w:rsidRPr="00294C6C">
        <w:rPr>
          <w:rFonts w:cs="Times New Roman"/>
          <w:b/>
          <w:color w:val="000000"/>
          <w:sz w:val="20"/>
          <w:szCs w:val="20"/>
          <w:lang w:val="it-IT"/>
        </w:rPr>
        <w:t>Jurisic</w:t>
      </w:r>
      <w:proofErr w:type="spellEnd"/>
      <w:r w:rsidRPr="00294C6C">
        <w:rPr>
          <w:rFonts w:cs="Times New Roman"/>
          <w:sz w:val="20"/>
          <w:szCs w:val="20"/>
          <w:lang w:val="it-IT"/>
        </w:rPr>
        <w:t>.</w:t>
      </w:r>
    </w:p>
    <w:p w:rsidR="00851441" w:rsidRPr="00294C6C" w:rsidRDefault="00851441">
      <w:pPr>
        <w:spacing w:line="264" w:lineRule="auto"/>
        <w:rPr>
          <w:rFonts w:cs="Times New Roman"/>
          <w:b/>
          <w:sz w:val="20"/>
          <w:szCs w:val="20"/>
          <w:lang w:val="it-IT"/>
        </w:rPr>
      </w:pPr>
    </w:p>
    <w:p w:rsidR="00851441" w:rsidRPr="00294C6C" w:rsidRDefault="00851441">
      <w:pPr>
        <w:overflowPunct/>
        <w:autoSpaceDE/>
        <w:autoSpaceDN/>
        <w:adjustRightInd/>
        <w:spacing w:line="264" w:lineRule="auto"/>
        <w:textAlignment w:val="auto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br w:type="page"/>
      </w:r>
    </w:p>
    <w:p w:rsidR="00294C6C" w:rsidRPr="004A3947" w:rsidRDefault="00294C6C" w:rsidP="00294C6C">
      <w:pPr>
        <w:spacing w:line="276" w:lineRule="auto"/>
        <w:jc w:val="both"/>
        <w:rPr>
          <w:b/>
          <w:i/>
          <w:sz w:val="18"/>
          <w:szCs w:val="18"/>
          <w:lang w:val="it-IT"/>
        </w:rPr>
      </w:pPr>
      <w:r w:rsidRPr="004A3947">
        <w:rPr>
          <w:b/>
          <w:i/>
          <w:sz w:val="18"/>
          <w:szCs w:val="18"/>
          <w:lang w:val="it-IT"/>
        </w:rPr>
        <w:lastRenderedPageBreak/>
        <w:t>Doka</w:t>
      </w:r>
    </w:p>
    <w:p w:rsidR="00294C6C" w:rsidRPr="004A3947" w:rsidRDefault="00294C6C" w:rsidP="00294C6C">
      <w:pPr>
        <w:spacing w:line="276" w:lineRule="auto"/>
        <w:jc w:val="both"/>
        <w:rPr>
          <w:i/>
          <w:sz w:val="18"/>
          <w:szCs w:val="18"/>
          <w:lang w:val="it-IT"/>
        </w:rPr>
      </w:pPr>
      <w:r w:rsidRPr="004A3947">
        <w:rPr>
          <w:i/>
          <w:sz w:val="18"/>
          <w:szCs w:val="18"/>
          <w:lang w:val="it-IT"/>
        </w:rPr>
        <w:t xml:space="preserve">Leader internazionale nelle tecnologie di </w:t>
      </w:r>
      <w:proofErr w:type="spellStart"/>
      <w:r w:rsidRPr="004A3947">
        <w:rPr>
          <w:i/>
          <w:sz w:val="18"/>
          <w:szCs w:val="18"/>
          <w:lang w:val="it-IT"/>
        </w:rPr>
        <w:t>casseratura</w:t>
      </w:r>
      <w:proofErr w:type="spellEnd"/>
      <w:r w:rsidRPr="004A3947">
        <w:rPr>
          <w:i/>
          <w:sz w:val="18"/>
          <w:szCs w:val="18"/>
          <w:lang w:val="it-IT"/>
        </w:rPr>
        <w:t xml:space="preserve">, da sempre promuove l’innovazione tecnica finalizzata al progresso sociale ed economico. I sistemi Doka contribuiscono a migliorare l’efficienza costruttiva, influenzando positivamente tempi e costi di realizzazione delle opere, sicurezza degli operatori, qualità dei manufatti. Oltre a disporre di una gamma completa di sistemi e servizi, Doka collabora fin dalle fasi preliminari con gli attori del processo edilizio, assistendoli nella preparazione di studi di fattibilità e capitolati d’appalto, progettando la soluzione di </w:t>
      </w:r>
      <w:proofErr w:type="spellStart"/>
      <w:r w:rsidRPr="004A3947">
        <w:rPr>
          <w:i/>
          <w:sz w:val="18"/>
          <w:szCs w:val="18"/>
          <w:lang w:val="it-IT"/>
        </w:rPr>
        <w:t>casseratura</w:t>
      </w:r>
      <w:proofErr w:type="spellEnd"/>
      <w:r w:rsidRPr="004A3947">
        <w:rPr>
          <w:i/>
          <w:sz w:val="18"/>
          <w:szCs w:val="18"/>
          <w:lang w:val="it-IT"/>
        </w:rPr>
        <w:t xml:space="preserve"> adeguata e verificandone indici produttivi e parametri di sicurezza, all’interno di una visione globale del progetto costruttivo. Con impianti di produzione all’avanguardia, localizzati presso gli Headquarters in Austria, e una forte Social Corporate </w:t>
      </w:r>
      <w:proofErr w:type="spellStart"/>
      <w:r w:rsidRPr="004A3947">
        <w:rPr>
          <w:i/>
          <w:sz w:val="18"/>
          <w:szCs w:val="18"/>
          <w:lang w:val="it-IT"/>
        </w:rPr>
        <w:t>Responsability</w:t>
      </w:r>
      <w:proofErr w:type="spellEnd"/>
      <w:r w:rsidRPr="004A3947">
        <w:rPr>
          <w:i/>
          <w:sz w:val="18"/>
          <w:szCs w:val="18"/>
          <w:lang w:val="it-IT"/>
        </w:rPr>
        <w:t xml:space="preserve"> che integra i concetti di sostenibilità economica, ecologica e sociale, il Gruppo Doka è attivo in tutto il mondo, e conta più di 5.600 dipendenti</w:t>
      </w:r>
    </w:p>
    <w:p w:rsidR="00294C6C" w:rsidRPr="004A3947" w:rsidRDefault="00294C6C" w:rsidP="00294C6C">
      <w:pPr>
        <w:spacing w:line="276" w:lineRule="auto"/>
        <w:jc w:val="both"/>
        <w:rPr>
          <w:i/>
          <w:sz w:val="18"/>
          <w:szCs w:val="18"/>
          <w:lang w:val="it-IT"/>
        </w:rPr>
      </w:pPr>
      <w:r w:rsidRPr="004A3947">
        <w:rPr>
          <w:i/>
          <w:sz w:val="18"/>
          <w:szCs w:val="18"/>
          <w:lang w:val="it-IT"/>
        </w:rPr>
        <w:t xml:space="preserve">In Italia Doka è presente con la Sede Centrale a Colturano (Milano), tre filiali a Colturano, Roma e Padova, e una filiale interamente dedicata alla gestione delle più grandi imprese italiane. </w:t>
      </w:r>
    </w:p>
    <w:p w:rsidR="00294C6C" w:rsidRDefault="00294C6C" w:rsidP="00294C6C">
      <w:pPr>
        <w:spacing w:line="276" w:lineRule="auto"/>
        <w:jc w:val="both"/>
        <w:rPr>
          <w:sz w:val="20"/>
          <w:lang w:val="it-IT"/>
        </w:rPr>
      </w:pPr>
      <w:r w:rsidRPr="004A3947">
        <w:rPr>
          <w:i/>
          <w:sz w:val="18"/>
          <w:szCs w:val="18"/>
          <w:lang w:val="it-IT"/>
        </w:rPr>
        <w:t xml:space="preserve">Maggiori informazioni all’indirizzo web </w:t>
      </w:r>
      <w:hyperlink r:id="rId7" w:history="1">
        <w:r w:rsidRPr="004A3947">
          <w:rPr>
            <w:rStyle w:val="Collegamentoipertestuale"/>
            <w:i/>
            <w:lang w:val="it-IT"/>
          </w:rPr>
          <w:t>www.doka.it</w:t>
        </w:r>
      </w:hyperlink>
    </w:p>
    <w:p w:rsidR="00294C6C" w:rsidRPr="005306E4" w:rsidRDefault="00294C6C" w:rsidP="00294C6C">
      <w:pPr>
        <w:spacing w:line="276" w:lineRule="auto"/>
        <w:jc w:val="both"/>
        <w:rPr>
          <w:sz w:val="20"/>
          <w:lang w:val="it-IT"/>
        </w:rPr>
      </w:pPr>
    </w:p>
    <w:p w:rsidR="00294C6C" w:rsidRPr="004A3947" w:rsidRDefault="00294C6C" w:rsidP="00294C6C">
      <w:pPr>
        <w:spacing w:line="276" w:lineRule="auto"/>
        <w:jc w:val="both"/>
        <w:rPr>
          <w:b/>
          <w:sz w:val="20"/>
          <w:szCs w:val="20"/>
          <w:lang w:val="it-IT"/>
        </w:rPr>
      </w:pPr>
      <w:r w:rsidRPr="004A3947">
        <w:rPr>
          <w:b/>
          <w:sz w:val="20"/>
          <w:szCs w:val="20"/>
          <w:lang w:val="it-IT"/>
        </w:rPr>
        <w:t>Informazioni per la stampa:</w:t>
      </w:r>
    </w:p>
    <w:p w:rsidR="00294C6C" w:rsidRPr="004A3947" w:rsidRDefault="00294C6C" w:rsidP="00294C6C">
      <w:pPr>
        <w:spacing w:line="276" w:lineRule="auto"/>
        <w:jc w:val="both"/>
        <w:rPr>
          <w:b/>
          <w:sz w:val="20"/>
          <w:szCs w:val="20"/>
          <w:lang w:val="it-IT"/>
        </w:rPr>
      </w:pPr>
      <w:r w:rsidRPr="004A3947">
        <w:rPr>
          <w:b/>
          <w:sz w:val="20"/>
          <w:szCs w:val="20"/>
          <w:lang w:val="it-IT"/>
        </w:rPr>
        <w:t xml:space="preserve">Laura </w:t>
      </w:r>
      <w:proofErr w:type="spellStart"/>
      <w:r w:rsidRPr="004A3947">
        <w:rPr>
          <w:b/>
          <w:sz w:val="20"/>
          <w:szCs w:val="20"/>
          <w:lang w:val="it-IT"/>
        </w:rPr>
        <w:t>Legnani</w:t>
      </w:r>
      <w:proofErr w:type="spellEnd"/>
      <w:r w:rsidRPr="004A3947">
        <w:rPr>
          <w:b/>
          <w:sz w:val="20"/>
          <w:szCs w:val="20"/>
          <w:lang w:val="it-IT"/>
        </w:rPr>
        <w:t xml:space="preserve">  - Head </w:t>
      </w:r>
      <w:proofErr w:type="spellStart"/>
      <w:r w:rsidRPr="004A3947">
        <w:rPr>
          <w:b/>
          <w:sz w:val="20"/>
          <w:szCs w:val="20"/>
          <w:lang w:val="it-IT"/>
        </w:rPr>
        <w:t>of</w:t>
      </w:r>
      <w:proofErr w:type="spellEnd"/>
      <w:r w:rsidRPr="004A3947">
        <w:rPr>
          <w:b/>
          <w:sz w:val="20"/>
          <w:szCs w:val="20"/>
          <w:lang w:val="it-IT"/>
        </w:rPr>
        <w:t xml:space="preserve"> Marketing </w:t>
      </w:r>
      <w:proofErr w:type="spellStart"/>
      <w:r w:rsidRPr="004A3947">
        <w:rPr>
          <w:b/>
          <w:sz w:val="20"/>
          <w:szCs w:val="20"/>
          <w:lang w:val="it-IT"/>
        </w:rPr>
        <w:t>Southern</w:t>
      </w:r>
      <w:proofErr w:type="spellEnd"/>
      <w:r w:rsidRPr="004A3947">
        <w:rPr>
          <w:b/>
          <w:sz w:val="20"/>
          <w:szCs w:val="20"/>
          <w:lang w:val="it-IT"/>
        </w:rPr>
        <w:t xml:space="preserve"> </w:t>
      </w:r>
      <w:proofErr w:type="spellStart"/>
      <w:r w:rsidRPr="004A3947">
        <w:rPr>
          <w:b/>
          <w:sz w:val="20"/>
          <w:szCs w:val="20"/>
          <w:lang w:val="it-IT"/>
        </w:rPr>
        <w:t>Europe</w:t>
      </w:r>
      <w:proofErr w:type="spellEnd"/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  <w:r w:rsidRPr="004A3947">
        <w:rPr>
          <w:b/>
          <w:sz w:val="20"/>
          <w:szCs w:val="20"/>
          <w:lang w:val="it-IT"/>
        </w:rPr>
        <w:tab/>
      </w: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  <w:r w:rsidRPr="00294C6C">
        <w:rPr>
          <w:sz w:val="20"/>
          <w:szCs w:val="20"/>
          <w:lang w:val="en-US"/>
        </w:rPr>
        <w:t>Cell: 339 2277973</w:t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  <w:proofErr w:type="spellStart"/>
      <w:r w:rsidRPr="00294C6C">
        <w:rPr>
          <w:sz w:val="20"/>
          <w:szCs w:val="20"/>
          <w:lang w:val="en-US"/>
        </w:rPr>
        <w:t>tel</w:t>
      </w:r>
      <w:proofErr w:type="spellEnd"/>
      <w:r w:rsidRPr="00294C6C">
        <w:rPr>
          <w:sz w:val="20"/>
          <w:szCs w:val="20"/>
          <w:lang w:val="en-US"/>
        </w:rPr>
        <w:t>:  02 98276-208</w:t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  <w:r w:rsidRPr="00294C6C">
        <w:rPr>
          <w:sz w:val="20"/>
          <w:szCs w:val="20"/>
          <w:lang w:val="en-US"/>
        </w:rPr>
        <w:tab/>
      </w: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  <w:hyperlink r:id="rId8" w:history="1">
        <w:r w:rsidRPr="00294C6C">
          <w:rPr>
            <w:rStyle w:val="Collegamentoipertestuale"/>
            <w:sz w:val="20"/>
            <w:szCs w:val="20"/>
            <w:lang w:val="en-US"/>
          </w:rPr>
          <w:t>laura.legnani@doka.com</w:t>
        </w:r>
      </w:hyperlink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</w:p>
    <w:p w:rsidR="00294C6C" w:rsidRPr="00294C6C" w:rsidRDefault="00294C6C" w:rsidP="00294C6C">
      <w:pPr>
        <w:spacing w:line="276" w:lineRule="auto"/>
        <w:jc w:val="both"/>
        <w:rPr>
          <w:sz w:val="20"/>
          <w:szCs w:val="20"/>
          <w:lang w:val="en-US"/>
        </w:rPr>
      </w:pPr>
    </w:p>
    <w:p w:rsidR="00294C6C" w:rsidRPr="00F84A60" w:rsidRDefault="00294C6C" w:rsidP="00294C6C">
      <w:pPr>
        <w:spacing w:line="276" w:lineRule="auto"/>
        <w:jc w:val="both"/>
        <w:rPr>
          <w:sz w:val="20"/>
          <w:szCs w:val="20"/>
          <w:lang w:val="it-IT"/>
        </w:rPr>
      </w:pPr>
      <w:r w:rsidRPr="00F84A60">
        <w:rPr>
          <w:sz w:val="20"/>
          <w:szCs w:val="20"/>
          <w:lang w:val="it-IT"/>
        </w:rPr>
        <w:t>I materiali di questo comunicato possono essere scaricati direttamente dal sito internet Doka Italia, alla rubrica:</w:t>
      </w:r>
      <w:r w:rsidRPr="00294C6C">
        <w:rPr>
          <w:sz w:val="20"/>
          <w:szCs w:val="20"/>
          <w:lang w:val="it-IT"/>
        </w:rPr>
        <w:t xml:space="preserve"> </w:t>
      </w:r>
      <w:r w:rsidRPr="00F84A60">
        <w:rPr>
          <w:sz w:val="20"/>
          <w:szCs w:val="20"/>
          <w:lang w:val="it-IT"/>
        </w:rPr>
        <w:t xml:space="preserve">: </w:t>
      </w:r>
      <w:hyperlink r:id="rId9" w:history="1">
        <w:r w:rsidRPr="00F84A60">
          <w:rPr>
            <w:rStyle w:val="Collegamentoipertestuale"/>
            <w:sz w:val="20"/>
            <w:szCs w:val="20"/>
            <w:lang w:val="it-IT"/>
          </w:rPr>
          <w:t xml:space="preserve">Doka | </w:t>
        </w:r>
        <w:r w:rsidRPr="00F84A60">
          <w:rPr>
            <w:rStyle w:val="Collegamentoipertestuale"/>
            <w:sz w:val="20"/>
            <w:szCs w:val="20"/>
            <w:lang w:val="it-IT"/>
          </w:rPr>
          <w:t>S</w:t>
        </w:r>
        <w:r w:rsidRPr="00F84A60">
          <w:rPr>
            <w:rStyle w:val="Collegamentoipertestuale"/>
            <w:sz w:val="20"/>
            <w:szCs w:val="20"/>
            <w:lang w:val="it-IT"/>
          </w:rPr>
          <w:t>tam</w:t>
        </w:r>
        <w:r w:rsidRPr="00F84A60">
          <w:rPr>
            <w:rStyle w:val="Collegamentoipertestuale"/>
            <w:sz w:val="20"/>
            <w:szCs w:val="20"/>
            <w:lang w:val="it-IT"/>
          </w:rPr>
          <w:t>p</w:t>
        </w:r>
        <w:r w:rsidRPr="00F84A60">
          <w:rPr>
            <w:rStyle w:val="Collegamentoipertestuale"/>
            <w:sz w:val="20"/>
            <w:szCs w:val="20"/>
            <w:lang w:val="it-IT"/>
          </w:rPr>
          <w:t>a (IT)</w:t>
        </w:r>
      </w:hyperlink>
    </w:p>
    <w:p w:rsidR="00294C6C" w:rsidRPr="00F84A60" w:rsidRDefault="00294C6C" w:rsidP="00294C6C">
      <w:pPr>
        <w:spacing w:line="276" w:lineRule="auto"/>
        <w:jc w:val="both"/>
        <w:rPr>
          <w:sz w:val="20"/>
          <w:szCs w:val="20"/>
          <w:lang w:val="it-IT"/>
        </w:rPr>
      </w:pPr>
    </w:p>
    <w:p w:rsidR="00851441" w:rsidRDefault="00851441" w:rsidP="00294C6C">
      <w:pPr>
        <w:rPr>
          <w:rFonts w:cs="Times New Roman"/>
          <w:sz w:val="20"/>
          <w:szCs w:val="20"/>
          <w:lang w:val="it-IT"/>
        </w:rPr>
      </w:pPr>
    </w:p>
    <w:p w:rsidR="00294C6C" w:rsidRPr="00294C6C" w:rsidRDefault="00294C6C" w:rsidP="00294C6C">
      <w:pPr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rPr>
          <w:rFonts w:cs="Times New Roman"/>
          <w:sz w:val="20"/>
          <w:szCs w:val="20"/>
          <w:lang w:val="it-IT"/>
        </w:rPr>
      </w:pPr>
    </w:p>
    <w:p w:rsidR="00851441" w:rsidRPr="00294C6C" w:rsidRDefault="00294C6C">
      <w:pPr>
        <w:rPr>
          <w:rFonts w:cs="Times New Roman"/>
          <w:b/>
          <w:sz w:val="20"/>
          <w:szCs w:val="20"/>
          <w:lang w:val="it-IT"/>
        </w:rPr>
      </w:pPr>
      <w:proofErr w:type="spellStart"/>
      <w:r>
        <w:rPr>
          <w:rFonts w:cs="Times New Roman"/>
          <w:b/>
          <w:sz w:val="20"/>
          <w:szCs w:val="20"/>
          <w:lang w:val="it-IT"/>
        </w:rPr>
        <w:t>Captions</w:t>
      </w:r>
      <w:proofErr w:type="spellEnd"/>
      <w:r w:rsidR="00851441" w:rsidRPr="00294C6C">
        <w:rPr>
          <w:rFonts w:cs="Times New Roman"/>
          <w:b/>
          <w:sz w:val="20"/>
          <w:szCs w:val="20"/>
          <w:lang w:val="it-IT"/>
        </w:rPr>
        <w:t>:</w:t>
      </w:r>
    </w:p>
    <w:p w:rsidR="00851441" w:rsidRPr="00294C6C" w:rsidRDefault="00851441">
      <w:pPr>
        <w:rPr>
          <w:rFonts w:cs="Times New Roman"/>
          <w:sz w:val="20"/>
          <w:szCs w:val="20"/>
          <w:lang w:val="it-IT"/>
        </w:rPr>
      </w:pPr>
    </w:p>
    <w:p w:rsidR="00851441" w:rsidRPr="00294C6C" w:rsidRDefault="00851441">
      <w:pPr>
        <w:pStyle w:val="Bildunterschrift"/>
        <w:spacing w:before="0"/>
        <w:rPr>
          <w:rFonts w:cs="Times New Roman"/>
          <w:bCs w:val="0"/>
          <w:i/>
          <w:sz w:val="20"/>
          <w:szCs w:val="20"/>
          <w:lang w:val="it-IT"/>
        </w:rPr>
      </w:pPr>
      <w:r w:rsidRPr="00294C6C">
        <w:rPr>
          <w:rFonts w:cs="Times New Roman"/>
          <w:bCs w:val="0"/>
          <w:i/>
          <w:sz w:val="20"/>
          <w:szCs w:val="20"/>
          <w:lang w:val="it-IT"/>
        </w:rPr>
        <w:t>Doka_2014_01_Korridor-Vc_IMG_01</w:t>
      </w:r>
    </w:p>
    <w:p w:rsidR="00851441" w:rsidRPr="00294C6C" w:rsidRDefault="00851441">
      <w:pPr>
        <w:pStyle w:val="Einleitung"/>
        <w:rPr>
          <w:rFonts w:cs="Times New Roman"/>
          <w:b w:val="0"/>
          <w:bCs w:val="0"/>
          <w:sz w:val="20"/>
          <w:szCs w:val="20"/>
          <w:lang w:val="it-IT"/>
        </w:rPr>
      </w:pPr>
      <w:r w:rsidRPr="00294C6C">
        <w:rPr>
          <w:rFonts w:cs="Times New Roman"/>
          <w:b w:val="0"/>
          <w:bCs w:val="0"/>
          <w:sz w:val="20"/>
          <w:szCs w:val="20"/>
          <w:lang w:val="it-IT"/>
        </w:rPr>
        <w:t>Efficienza ad altezze elevate: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d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ieci carri per conci a sbalzo Doka 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>realizzano i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due 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>viadotti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>del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Corridoio </w:t>
      </w:r>
      <w:proofErr w:type="spellStart"/>
      <w:r w:rsidRPr="00294C6C">
        <w:rPr>
          <w:rFonts w:cs="Times New Roman"/>
          <w:b w:val="0"/>
          <w:bCs w:val="0"/>
          <w:sz w:val="20"/>
          <w:szCs w:val="20"/>
          <w:lang w:val="it-IT"/>
        </w:rPr>
        <w:t>Vc</w:t>
      </w:r>
      <w:proofErr w:type="spellEnd"/>
      <w:r w:rsidRPr="00294C6C">
        <w:rPr>
          <w:rFonts w:cs="Times New Roman"/>
          <w:b w:val="0"/>
          <w:bCs w:val="0"/>
          <w:sz w:val="20"/>
          <w:szCs w:val="20"/>
          <w:lang w:val="it-IT"/>
        </w:rPr>
        <w:t>, velocemente e in condizioni di massima sicurezza</w:t>
      </w:r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  <w:proofErr w:type="spellStart"/>
      <w:r w:rsidRPr="00294C6C">
        <w:rPr>
          <w:rFonts w:cs="Times New Roman"/>
          <w:sz w:val="20"/>
          <w:szCs w:val="20"/>
        </w:rPr>
        <w:t>Foto:Doka</w:t>
      </w:r>
      <w:proofErr w:type="spellEnd"/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</w:p>
    <w:p w:rsidR="00851441" w:rsidRPr="00294C6C" w:rsidRDefault="00851441">
      <w:pPr>
        <w:pStyle w:val="Bildunterschrift"/>
        <w:spacing w:before="0"/>
        <w:rPr>
          <w:rFonts w:cs="Times New Roman"/>
          <w:bCs w:val="0"/>
          <w:i/>
          <w:sz w:val="20"/>
          <w:szCs w:val="20"/>
        </w:rPr>
      </w:pPr>
      <w:r w:rsidRPr="00294C6C">
        <w:rPr>
          <w:rFonts w:cs="Times New Roman"/>
          <w:bCs w:val="0"/>
          <w:i/>
          <w:sz w:val="20"/>
          <w:szCs w:val="20"/>
        </w:rPr>
        <w:t>Doka_2014_01_Korridor-Vc_IMG_02</w:t>
      </w:r>
    </w:p>
    <w:p w:rsidR="00851441" w:rsidRPr="00294C6C" w:rsidRDefault="00851441">
      <w:pPr>
        <w:pStyle w:val="Einleitung"/>
        <w:rPr>
          <w:rFonts w:cs="Times New Roman"/>
          <w:b w:val="0"/>
          <w:bCs w:val="0"/>
          <w:sz w:val="20"/>
          <w:szCs w:val="20"/>
          <w:lang w:val="it-IT"/>
        </w:rPr>
      </w:pP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I 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>viadotti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</w:t>
      </w:r>
      <w:proofErr w:type="spellStart"/>
      <w:r w:rsidRPr="00294C6C">
        <w:rPr>
          <w:rFonts w:cs="Times New Roman"/>
          <w:b w:val="0"/>
          <w:bCs w:val="0"/>
          <w:color w:val="000000"/>
          <w:sz w:val="20"/>
          <w:szCs w:val="20"/>
          <w:lang w:val="it-IT"/>
        </w:rPr>
        <w:t>Studenčica</w:t>
      </w:r>
      <w:proofErr w:type="spellEnd"/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e </w:t>
      </w:r>
      <w:proofErr w:type="spellStart"/>
      <w:r w:rsidRPr="00294C6C">
        <w:rPr>
          <w:rFonts w:cs="Times New Roman"/>
          <w:b w:val="0"/>
          <w:bCs w:val="0"/>
          <w:sz w:val="20"/>
          <w:szCs w:val="20"/>
          <w:lang w:val="it-IT"/>
        </w:rPr>
        <w:t>Trebižat</w:t>
      </w:r>
      <w:proofErr w:type="spellEnd"/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fanno parte del nuovo collegamento nord-sud</w:t>
      </w:r>
      <w:r w:rsidR="00E155C3" w:rsidRPr="00294C6C">
        <w:rPr>
          <w:rFonts w:cs="Times New Roman"/>
          <w:b w:val="0"/>
          <w:bCs w:val="0"/>
          <w:sz w:val="20"/>
          <w:szCs w:val="20"/>
          <w:lang w:val="it-IT"/>
        </w:rPr>
        <w:t>,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nel tratto attraverso la Bosnia</w:t>
      </w:r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  <w:proofErr w:type="spellStart"/>
      <w:r w:rsidRPr="00294C6C">
        <w:rPr>
          <w:rFonts w:cs="Times New Roman"/>
          <w:sz w:val="20"/>
          <w:szCs w:val="20"/>
        </w:rPr>
        <w:t>Foto:Doka</w:t>
      </w:r>
      <w:proofErr w:type="spellEnd"/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</w:p>
    <w:p w:rsidR="00851441" w:rsidRPr="00294C6C" w:rsidRDefault="00851441">
      <w:pPr>
        <w:pStyle w:val="Bildunterschrift"/>
        <w:spacing w:before="0"/>
        <w:rPr>
          <w:rFonts w:cs="Times New Roman"/>
          <w:bCs w:val="0"/>
          <w:i/>
          <w:sz w:val="20"/>
          <w:szCs w:val="20"/>
        </w:rPr>
      </w:pPr>
      <w:r w:rsidRPr="00294C6C">
        <w:rPr>
          <w:rFonts w:cs="Times New Roman"/>
          <w:bCs w:val="0"/>
          <w:i/>
          <w:sz w:val="20"/>
          <w:szCs w:val="20"/>
        </w:rPr>
        <w:t>Doka_2014_01_Korridor-Vc_IMG_03</w:t>
      </w:r>
    </w:p>
    <w:p w:rsidR="00851441" w:rsidRPr="00294C6C" w:rsidRDefault="00851441">
      <w:pPr>
        <w:pStyle w:val="Einleitung"/>
        <w:rPr>
          <w:rFonts w:cs="Times New Roman"/>
          <w:b w:val="0"/>
          <w:bCs w:val="0"/>
          <w:sz w:val="20"/>
          <w:szCs w:val="20"/>
          <w:lang w:val="it-IT"/>
        </w:rPr>
      </w:pP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Per i due viadotti di 555 e 365 m, Doka ha messo a punto una soluzione di </w:t>
      </w:r>
      <w:proofErr w:type="spellStart"/>
      <w:r w:rsidRPr="00294C6C">
        <w:rPr>
          <w:rFonts w:cs="Times New Roman"/>
          <w:b w:val="0"/>
          <w:bCs w:val="0"/>
          <w:sz w:val="20"/>
          <w:szCs w:val="20"/>
          <w:lang w:val="it-IT"/>
        </w:rPr>
        <w:t>casseratura</w:t>
      </w:r>
      <w:proofErr w:type="spellEnd"/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con carri per conci a sbalzo che, grazie </w:t>
      </w:r>
      <w:r w:rsidR="00563570" w:rsidRPr="00294C6C">
        <w:rPr>
          <w:rFonts w:cs="Times New Roman"/>
          <w:b w:val="0"/>
          <w:bCs w:val="0"/>
          <w:sz w:val="20"/>
          <w:szCs w:val="20"/>
          <w:lang w:val="it-IT"/>
        </w:rPr>
        <w:t>a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 xml:space="preserve"> sezioni di getto </w:t>
      </w:r>
      <w:r w:rsidR="00563570" w:rsidRPr="00294C6C">
        <w:rPr>
          <w:rFonts w:cs="Times New Roman"/>
          <w:b w:val="0"/>
          <w:bCs w:val="0"/>
          <w:sz w:val="20"/>
          <w:szCs w:val="20"/>
          <w:lang w:val="it-IT"/>
        </w:rPr>
        <w:t>più lunghe</w:t>
      </w:r>
      <w:r w:rsidRPr="00294C6C">
        <w:rPr>
          <w:rFonts w:cs="Times New Roman"/>
          <w:b w:val="0"/>
          <w:bCs w:val="0"/>
          <w:sz w:val="20"/>
          <w:szCs w:val="20"/>
          <w:lang w:val="it-IT"/>
        </w:rPr>
        <w:t>, consente di risparmiare tempo e risorse</w:t>
      </w:r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  <w:proofErr w:type="spellStart"/>
      <w:r w:rsidRPr="00294C6C">
        <w:rPr>
          <w:rFonts w:cs="Times New Roman"/>
          <w:sz w:val="20"/>
          <w:szCs w:val="20"/>
        </w:rPr>
        <w:t>Foto:Doka</w:t>
      </w:r>
      <w:proofErr w:type="spellEnd"/>
    </w:p>
    <w:p w:rsidR="00851441" w:rsidRPr="00294C6C" w:rsidRDefault="00851441">
      <w:pPr>
        <w:pStyle w:val="Fotohinweis"/>
        <w:rPr>
          <w:rFonts w:cs="Times New Roman"/>
          <w:sz w:val="20"/>
          <w:szCs w:val="20"/>
        </w:rPr>
      </w:pPr>
    </w:p>
    <w:p w:rsidR="00851441" w:rsidRPr="00294C6C" w:rsidRDefault="00851441">
      <w:pPr>
        <w:pStyle w:val="Bildunterschrift"/>
        <w:spacing w:before="0"/>
        <w:rPr>
          <w:rFonts w:cs="Times New Roman"/>
          <w:bCs w:val="0"/>
          <w:i/>
          <w:sz w:val="20"/>
          <w:szCs w:val="20"/>
        </w:rPr>
      </w:pPr>
      <w:r w:rsidRPr="00294C6C">
        <w:rPr>
          <w:rFonts w:cs="Times New Roman"/>
          <w:bCs w:val="0"/>
          <w:i/>
          <w:sz w:val="20"/>
          <w:szCs w:val="20"/>
        </w:rPr>
        <w:t>Doka_2014_01_Korridor-Vc_IMG_04</w:t>
      </w:r>
    </w:p>
    <w:p w:rsidR="00D126E4" w:rsidRPr="00294C6C" w:rsidRDefault="00D126E4" w:rsidP="00D126E4">
      <w:pPr>
        <w:pStyle w:val="Fotohinweis"/>
        <w:jc w:val="left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 xml:space="preserve">Considerato lo spazio ridotto sul </w:t>
      </w:r>
      <w:proofErr w:type="spellStart"/>
      <w:r w:rsidRPr="00294C6C">
        <w:rPr>
          <w:rFonts w:cs="Times New Roman"/>
          <w:sz w:val="20"/>
          <w:szCs w:val="20"/>
          <w:lang w:val="it-IT"/>
        </w:rPr>
        <w:t>testapila</w:t>
      </w:r>
      <w:proofErr w:type="spellEnd"/>
      <w:r w:rsidRPr="00294C6C">
        <w:rPr>
          <w:rFonts w:cs="Times New Roman"/>
          <w:sz w:val="20"/>
          <w:szCs w:val="20"/>
          <w:lang w:val="it-IT"/>
        </w:rPr>
        <w:t>, uno dei carri viene fatto partire prima, per liberare lo spazio per assemblare il secondo, che viene successivamente agganciato al primo,</w:t>
      </w:r>
      <w:r w:rsidR="00D03367" w:rsidRPr="00294C6C">
        <w:rPr>
          <w:rFonts w:cs="Times New Roman"/>
          <w:sz w:val="20"/>
          <w:szCs w:val="20"/>
          <w:lang w:val="it-IT"/>
        </w:rPr>
        <w:t xml:space="preserve"> controbilanciandolo</w:t>
      </w:r>
    </w:p>
    <w:p w:rsidR="00851441" w:rsidRPr="00294C6C" w:rsidRDefault="00851441">
      <w:pPr>
        <w:pStyle w:val="Fotohinweis"/>
        <w:rPr>
          <w:rFonts w:cs="Times New Roman"/>
          <w:sz w:val="20"/>
          <w:szCs w:val="20"/>
          <w:lang w:val="it-IT"/>
        </w:rPr>
      </w:pPr>
      <w:r w:rsidRPr="00294C6C">
        <w:rPr>
          <w:rFonts w:cs="Times New Roman"/>
          <w:sz w:val="20"/>
          <w:szCs w:val="20"/>
          <w:lang w:val="it-IT"/>
        </w:rPr>
        <w:t>Foto:Doka</w:t>
      </w:r>
    </w:p>
    <w:p w:rsidR="00851441" w:rsidRPr="00294C6C" w:rsidRDefault="00851441">
      <w:pPr>
        <w:pStyle w:val="Fotohinweis"/>
        <w:rPr>
          <w:rFonts w:cs="Times New Roman"/>
          <w:sz w:val="20"/>
          <w:szCs w:val="20"/>
          <w:lang w:val="it-IT"/>
        </w:rPr>
      </w:pPr>
    </w:p>
    <w:sectPr w:rsidR="00851441" w:rsidRPr="00294C6C" w:rsidSect="00F957A4">
      <w:headerReference w:type="default" r:id="rId10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367" w:rsidRDefault="00D03367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endnote>
  <w:endnote w:type="continuationSeparator" w:id="0">
    <w:p w:rsidR="00D03367" w:rsidRDefault="00D03367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367" w:rsidRDefault="00D03367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</w:footnote>
  <w:footnote w:type="continuationSeparator" w:id="0">
    <w:p w:rsidR="00D03367" w:rsidRDefault="00D03367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67" w:rsidRDefault="00D03367">
    <w:pPr>
      <w:pStyle w:val="Intestazione"/>
      <w:jc w:val="right"/>
      <w:rPr>
        <w:rFonts w:cs="Times New Roman"/>
        <w:szCs w:val="24"/>
      </w:rPr>
    </w:pPr>
    <w:r>
      <w:rPr>
        <w:rFonts w:cs="Times New Roman"/>
        <w:noProof/>
        <w:snapToGrid/>
        <w:szCs w:val="24"/>
        <w:lang w:val="en-US" w:eastAsia="en-US"/>
      </w:rPr>
      <w:drawing>
        <wp:inline distT="0" distB="0" distL="0" distR="0">
          <wp:extent cx="1561465" cy="609600"/>
          <wp:effectExtent l="19050" t="0" r="63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46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2"/>
        <w:szCs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7F7C2B"/>
    <w:rsid w:val="00000C22"/>
    <w:rsid w:val="00002F91"/>
    <w:rsid w:val="000040E0"/>
    <w:rsid w:val="00005A73"/>
    <w:rsid w:val="00005BA4"/>
    <w:rsid w:val="00010DF1"/>
    <w:rsid w:val="0001239A"/>
    <w:rsid w:val="00015F66"/>
    <w:rsid w:val="00016591"/>
    <w:rsid w:val="00016EAD"/>
    <w:rsid w:val="000251EE"/>
    <w:rsid w:val="00025D17"/>
    <w:rsid w:val="00030363"/>
    <w:rsid w:val="000322F5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3232"/>
    <w:rsid w:val="00063F30"/>
    <w:rsid w:val="00064939"/>
    <w:rsid w:val="00065085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CEC"/>
    <w:rsid w:val="0008594B"/>
    <w:rsid w:val="000900B7"/>
    <w:rsid w:val="000904B3"/>
    <w:rsid w:val="000931C4"/>
    <w:rsid w:val="00094AEB"/>
    <w:rsid w:val="00096F94"/>
    <w:rsid w:val="000A06A9"/>
    <w:rsid w:val="000A4782"/>
    <w:rsid w:val="000A6806"/>
    <w:rsid w:val="000A6BF4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273A"/>
    <w:rsid w:val="000D321B"/>
    <w:rsid w:val="000D3FE3"/>
    <w:rsid w:val="000E20AA"/>
    <w:rsid w:val="000E2A1E"/>
    <w:rsid w:val="000F0A26"/>
    <w:rsid w:val="000F239F"/>
    <w:rsid w:val="000F27D8"/>
    <w:rsid w:val="000F2860"/>
    <w:rsid w:val="000F4755"/>
    <w:rsid w:val="000F6CA7"/>
    <w:rsid w:val="00100239"/>
    <w:rsid w:val="00100EAD"/>
    <w:rsid w:val="00101154"/>
    <w:rsid w:val="00101536"/>
    <w:rsid w:val="00107234"/>
    <w:rsid w:val="00107EB0"/>
    <w:rsid w:val="0011463D"/>
    <w:rsid w:val="00120322"/>
    <w:rsid w:val="00120AEA"/>
    <w:rsid w:val="00121825"/>
    <w:rsid w:val="00122CD1"/>
    <w:rsid w:val="00124468"/>
    <w:rsid w:val="00124730"/>
    <w:rsid w:val="00126BDB"/>
    <w:rsid w:val="00126E9E"/>
    <w:rsid w:val="001357AC"/>
    <w:rsid w:val="001370DE"/>
    <w:rsid w:val="001377E1"/>
    <w:rsid w:val="001402FA"/>
    <w:rsid w:val="00140D49"/>
    <w:rsid w:val="00141584"/>
    <w:rsid w:val="00141D03"/>
    <w:rsid w:val="001428B6"/>
    <w:rsid w:val="00145700"/>
    <w:rsid w:val="0015009A"/>
    <w:rsid w:val="00150745"/>
    <w:rsid w:val="00151116"/>
    <w:rsid w:val="00151123"/>
    <w:rsid w:val="001518AF"/>
    <w:rsid w:val="001529C9"/>
    <w:rsid w:val="001532FF"/>
    <w:rsid w:val="0015368E"/>
    <w:rsid w:val="001550EB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57A3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2AB9"/>
    <w:rsid w:val="001A3C69"/>
    <w:rsid w:val="001A62EB"/>
    <w:rsid w:val="001A7BB7"/>
    <w:rsid w:val="001B24D6"/>
    <w:rsid w:val="001B2E0E"/>
    <w:rsid w:val="001B478C"/>
    <w:rsid w:val="001B63FA"/>
    <w:rsid w:val="001B66E8"/>
    <w:rsid w:val="001B724B"/>
    <w:rsid w:val="001C048D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2836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1AB1"/>
    <w:rsid w:val="002528AB"/>
    <w:rsid w:val="00252BB2"/>
    <w:rsid w:val="00255352"/>
    <w:rsid w:val="0025574A"/>
    <w:rsid w:val="00255B14"/>
    <w:rsid w:val="00255FAB"/>
    <w:rsid w:val="002574A4"/>
    <w:rsid w:val="00264845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2958"/>
    <w:rsid w:val="00292C49"/>
    <w:rsid w:val="00294270"/>
    <w:rsid w:val="00294C6C"/>
    <w:rsid w:val="002955F7"/>
    <w:rsid w:val="00297D67"/>
    <w:rsid w:val="002A0810"/>
    <w:rsid w:val="002A0E48"/>
    <w:rsid w:val="002A29BA"/>
    <w:rsid w:val="002A560B"/>
    <w:rsid w:val="002A6293"/>
    <w:rsid w:val="002A6736"/>
    <w:rsid w:val="002B22F7"/>
    <w:rsid w:val="002B6A25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471A"/>
    <w:rsid w:val="002D5962"/>
    <w:rsid w:val="002D78B6"/>
    <w:rsid w:val="002E0651"/>
    <w:rsid w:val="002E0AF0"/>
    <w:rsid w:val="002E225F"/>
    <w:rsid w:val="002E2EE7"/>
    <w:rsid w:val="002E5F1E"/>
    <w:rsid w:val="002F0538"/>
    <w:rsid w:val="002F0D9E"/>
    <w:rsid w:val="002F2206"/>
    <w:rsid w:val="002F6989"/>
    <w:rsid w:val="0030061E"/>
    <w:rsid w:val="0030576D"/>
    <w:rsid w:val="00307257"/>
    <w:rsid w:val="00307D5D"/>
    <w:rsid w:val="003128FA"/>
    <w:rsid w:val="003148EA"/>
    <w:rsid w:val="003151F4"/>
    <w:rsid w:val="00316319"/>
    <w:rsid w:val="00316391"/>
    <w:rsid w:val="003254C3"/>
    <w:rsid w:val="00325611"/>
    <w:rsid w:val="00334697"/>
    <w:rsid w:val="00340172"/>
    <w:rsid w:val="00345503"/>
    <w:rsid w:val="0034565D"/>
    <w:rsid w:val="0034608C"/>
    <w:rsid w:val="00352D97"/>
    <w:rsid w:val="00354410"/>
    <w:rsid w:val="00354EE2"/>
    <w:rsid w:val="00355E5E"/>
    <w:rsid w:val="003615AC"/>
    <w:rsid w:val="00361C47"/>
    <w:rsid w:val="00361CD1"/>
    <w:rsid w:val="00362D90"/>
    <w:rsid w:val="00363904"/>
    <w:rsid w:val="00363D6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176B"/>
    <w:rsid w:val="003A2895"/>
    <w:rsid w:val="003A37E7"/>
    <w:rsid w:val="003A4FA2"/>
    <w:rsid w:val="003A5B0C"/>
    <w:rsid w:val="003A79FC"/>
    <w:rsid w:val="003B0303"/>
    <w:rsid w:val="003B3AC6"/>
    <w:rsid w:val="003B3FCB"/>
    <w:rsid w:val="003C2264"/>
    <w:rsid w:val="003C2B9F"/>
    <w:rsid w:val="003C2E17"/>
    <w:rsid w:val="003C4389"/>
    <w:rsid w:val="003C5963"/>
    <w:rsid w:val="003D0B7C"/>
    <w:rsid w:val="003D4BC4"/>
    <w:rsid w:val="003D5D3A"/>
    <w:rsid w:val="003D6E7F"/>
    <w:rsid w:val="003D76A7"/>
    <w:rsid w:val="003E0603"/>
    <w:rsid w:val="003E1B7C"/>
    <w:rsid w:val="003E2A28"/>
    <w:rsid w:val="003E4C7C"/>
    <w:rsid w:val="003E679B"/>
    <w:rsid w:val="003F1085"/>
    <w:rsid w:val="003F2D41"/>
    <w:rsid w:val="00401B81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557D5"/>
    <w:rsid w:val="00455EFF"/>
    <w:rsid w:val="00456F44"/>
    <w:rsid w:val="00457CE1"/>
    <w:rsid w:val="00461CC3"/>
    <w:rsid w:val="00463017"/>
    <w:rsid w:val="004639B7"/>
    <w:rsid w:val="00463CD4"/>
    <w:rsid w:val="0046650D"/>
    <w:rsid w:val="00473116"/>
    <w:rsid w:val="00473BC0"/>
    <w:rsid w:val="00474177"/>
    <w:rsid w:val="00474B6B"/>
    <w:rsid w:val="004752D2"/>
    <w:rsid w:val="004758D0"/>
    <w:rsid w:val="004766A2"/>
    <w:rsid w:val="00481119"/>
    <w:rsid w:val="00483654"/>
    <w:rsid w:val="0048426A"/>
    <w:rsid w:val="00492FCA"/>
    <w:rsid w:val="00493CBF"/>
    <w:rsid w:val="004945E7"/>
    <w:rsid w:val="00497FBB"/>
    <w:rsid w:val="004A0EF2"/>
    <w:rsid w:val="004A11B0"/>
    <w:rsid w:val="004A156D"/>
    <w:rsid w:val="004A44DF"/>
    <w:rsid w:val="004A5189"/>
    <w:rsid w:val="004B0024"/>
    <w:rsid w:val="004B40E5"/>
    <w:rsid w:val="004B46D7"/>
    <w:rsid w:val="004C0A46"/>
    <w:rsid w:val="004C15FB"/>
    <w:rsid w:val="004C4763"/>
    <w:rsid w:val="004C4D4F"/>
    <w:rsid w:val="004D0DBC"/>
    <w:rsid w:val="004D0EE2"/>
    <w:rsid w:val="004D390B"/>
    <w:rsid w:val="004D629C"/>
    <w:rsid w:val="004E01A8"/>
    <w:rsid w:val="004E1670"/>
    <w:rsid w:val="004E5EFD"/>
    <w:rsid w:val="004E695D"/>
    <w:rsid w:val="004E6C7F"/>
    <w:rsid w:val="004F0C47"/>
    <w:rsid w:val="004F3A4D"/>
    <w:rsid w:val="004F3A7B"/>
    <w:rsid w:val="004F5E18"/>
    <w:rsid w:val="004F7A85"/>
    <w:rsid w:val="00500FE9"/>
    <w:rsid w:val="00504946"/>
    <w:rsid w:val="00505224"/>
    <w:rsid w:val="00505861"/>
    <w:rsid w:val="00505D3C"/>
    <w:rsid w:val="00514A3C"/>
    <w:rsid w:val="00514C50"/>
    <w:rsid w:val="005151C6"/>
    <w:rsid w:val="0051534D"/>
    <w:rsid w:val="00515AC3"/>
    <w:rsid w:val="005165F8"/>
    <w:rsid w:val="0051758A"/>
    <w:rsid w:val="00522770"/>
    <w:rsid w:val="00523087"/>
    <w:rsid w:val="0052410F"/>
    <w:rsid w:val="005257A0"/>
    <w:rsid w:val="0052766F"/>
    <w:rsid w:val="005276A8"/>
    <w:rsid w:val="00531302"/>
    <w:rsid w:val="00531A8E"/>
    <w:rsid w:val="00533B9D"/>
    <w:rsid w:val="0053540E"/>
    <w:rsid w:val="0053636D"/>
    <w:rsid w:val="00537240"/>
    <w:rsid w:val="0054128C"/>
    <w:rsid w:val="00541415"/>
    <w:rsid w:val="005428D8"/>
    <w:rsid w:val="0054380B"/>
    <w:rsid w:val="005462D2"/>
    <w:rsid w:val="00546A7A"/>
    <w:rsid w:val="00550975"/>
    <w:rsid w:val="00553AC3"/>
    <w:rsid w:val="00563570"/>
    <w:rsid w:val="005642D2"/>
    <w:rsid w:val="00564AF1"/>
    <w:rsid w:val="00570335"/>
    <w:rsid w:val="00572029"/>
    <w:rsid w:val="005727C6"/>
    <w:rsid w:val="00572CFA"/>
    <w:rsid w:val="00574722"/>
    <w:rsid w:val="005747E6"/>
    <w:rsid w:val="00574B8D"/>
    <w:rsid w:val="005767F1"/>
    <w:rsid w:val="00580526"/>
    <w:rsid w:val="00582E69"/>
    <w:rsid w:val="005861CF"/>
    <w:rsid w:val="0058680D"/>
    <w:rsid w:val="00586E94"/>
    <w:rsid w:val="00587ADB"/>
    <w:rsid w:val="0059159E"/>
    <w:rsid w:val="00593D62"/>
    <w:rsid w:val="00594152"/>
    <w:rsid w:val="0059444E"/>
    <w:rsid w:val="00594A33"/>
    <w:rsid w:val="005965EE"/>
    <w:rsid w:val="005A1EA6"/>
    <w:rsid w:val="005A2CBF"/>
    <w:rsid w:val="005A6B2A"/>
    <w:rsid w:val="005B0295"/>
    <w:rsid w:val="005B254A"/>
    <w:rsid w:val="005B36C0"/>
    <w:rsid w:val="005B5705"/>
    <w:rsid w:val="005B7476"/>
    <w:rsid w:val="005C05EF"/>
    <w:rsid w:val="005C128A"/>
    <w:rsid w:val="005C38D5"/>
    <w:rsid w:val="005C418B"/>
    <w:rsid w:val="005C4ED3"/>
    <w:rsid w:val="005C6539"/>
    <w:rsid w:val="005C65D7"/>
    <w:rsid w:val="005D2AF9"/>
    <w:rsid w:val="005D3FA2"/>
    <w:rsid w:val="005D590E"/>
    <w:rsid w:val="005E1BA3"/>
    <w:rsid w:val="005F4E67"/>
    <w:rsid w:val="005F53FC"/>
    <w:rsid w:val="005F58ED"/>
    <w:rsid w:val="005F62A8"/>
    <w:rsid w:val="00600641"/>
    <w:rsid w:val="00603B07"/>
    <w:rsid w:val="00605ED4"/>
    <w:rsid w:val="0060619B"/>
    <w:rsid w:val="0061231B"/>
    <w:rsid w:val="006174CA"/>
    <w:rsid w:val="006179D6"/>
    <w:rsid w:val="00617C19"/>
    <w:rsid w:val="00620171"/>
    <w:rsid w:val="00624DE9"/>
    <w:rsid w:val="006259A0"/>
    <w:rsid w:val="0062650A"/>
    <w:rsid w:val="0062679B"/>
    <w:rsid w:val="00626A22"/>
    <w:rsid w:val="00630B26"/>
    <w:rsid w:val="00634611"/>
    <w:rsid w:val="0063637D"/>
    <w:rsid w:val="0063757E"/>
    <w:rsid w:val="00637B1D"/>
    <w:rsid w:val="00640D0F"/>
    <w:rsid w:val="00641955"/>
    <w:rsid w:val="00642153"/>
    <w:rsid w:val="00644DBE"/>
    <w:rsid w:val="006459F5"/>
    <w:rsid w:val="006542E6"/>
    <w:rsid w:val="006568C4"/>
    <w:rsid w:val="00660020"/>
    <w:rsid w:val="006667EE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A0755"/>
    <w:rsid w:val="006A17C5"/>
    <w:rsid w:val="006A4302"/>
    <w:rsid w:val="006A4F46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0A56"/>
    <w:rsid w:val="006D11DF"/>
    <w:rsid w:val="006D2F3F"/>
    <w:rsid w:val="006D3434"/>
    <w:rsid w:val="006D4BCB"/>
    <w:rsid w:val="006D7CD8"/>
    <w:rsid w:val="006E1201"/>
    <w:rsid w:val="006E3039"/>
    <w:rsid w:val="006E6DF0"/>
    <w:rsid w:val="006F1B98"/>
    <w:rsid w:val="006F2476"/>
    <w:rsid w:val="006F3AAB"/>
    <w:rsid w:val="006F4ED2"/>
    <w:rsid w:val="006F5730"/>
    <w:rsid w:val="00700FC1"/>
    <w:rsid w:val="007107B6"/>
    <w:rsid w:val="00712E74"/>
    <w:rsid w:val="0071500E"/>
    <w:rsid w:val="007163D9"/>
    <w:rsid w:val="00717D1F"/>
    <w:rsid w:val="007212A6"/>
    <w:rsid w:val="00723211"/>
    <w:rsid w:val="00730391"/>
    <w:rsid w:val="00732EB4"/>
    <w:rsid w:val="007365F5"/>
    <w:rsid w:val="00743D15"/>
    <w:rsid w:val="00745872"/>
    <w:rsid w:val="0074598C"/>
    <w:rsid w:val="007468BB"/>
    <w:rsid w:val="00750B70"/>
    <w:rsid w:val="00754E98"/>
    <w:rsid w:val="007556E1"/>
    <w:rsid w:val="00756B95"/>
    <w:rsid w:val="00757FC5"/>
    <w:rsid w:val="007619EF"/>
    <w:rsid w:val="007655AE"/>
    <w:rsid w:val="00765BFB"/>
    <w:rsid w:val="00766A36"/>
    <w:rsid w:val="00770152"/>
    <w:rsid w:val="00772624"/>
    <w:rsid w:val="00775107"/>
    <w:rsid w:val="0077513A"/>
    <w:rsid w:val="00777C84"/>
    <w:rsid w:val="00782A7A"/>
    <w:rsid w:val="00783526"/>
    <w:rsid w:val="00783739"/>
    <w:rsid w:val="00783EA1"/>
    <w:rsid w:val="007854F9"/>
    <w:rsid w:val="00791810"/>
    <w:rsid w:val="007939B6"/>
    <w:rsid w:val="00795DB6"/>
    <w:rsid w:val="007964FC"/>
    <w:rsid w:val="007A24AB"/>
    <w:rsid w:val="007A366C"/>
    <w:rsid w:val="007A4A33"/>
    <w:rsid w:val="007A5D72"/>
    <w:rsid w:val="007B112B"/>
    <w:rsid w:val="007B15D7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089A"/>
    <w:rsid w:val="007D1247"/>
    <w:rsid w:val="007D13FB"/>
    <w:rsid w:val="007D1603"/>
    <w:rsid w:val="007D251B"/>
    <w:rsid w:val="007D3940"/>
    <w:rsid w:val="007D5CC5"/>
    <w:rsid w:val="007D61F3"/>
    <w:rsid w:val="007E09C2"/>
    <w:rsid w:val="007E11C8"/>
    <w:rsid w:val="007E1D5C"/>
    <w:rsid w:val="007E243A"/>
    <w:rsid w:val="007E2E94"/>
    <w:rsid w:val="007E45C1"/>
    <w:rsid w:val="007E48C0"/>
    <w:rsid w:val="007E5349"/>
    <w:rsid w:val="007E54A7"/>
    <w:rsid w:val="007F1B5C"/>
    <w:rsid w:val="007F3E65"/>
    <w:rsid w:val="007F7C2B"/>
    <w:rsid w:val="00802C3F"/>
    <w:rsid w:val="008071E0"/>
    <w:rsid w:val="00807495"/>
    <w:rsid w:val="008077B8"/>
    <w:rsid w:val="008122E0"/>
    <w:rsid w:val="00813E97"/>
    <w:rsid w:val="008168B4"/>
    <w:rsid w:val="008209E2"/>
    <w:rsid w:val="00821A7A"/>
    <w:rsid w:val="00822750"/>
    <w:rsid w:val="008261E0"/>
    <w:rsid w:val="00826274"/>
    <w:rsid w:val="0082766D"/>
    <w:rsid w:val="00830589"/>
    <w:rsid w:val="00831311"/>
    <w:rsid w:val="00835C79"/>
    <w:rsid w:val="00840198"/>
    <w:rsid w:val="00841263"/>
    <w:rsid w:val="0084602A"/>
    <w:rsid w:val="00847C94"/>
    <w:rsid w:val="008507C3"/>
    <w:rsid w:val="00851441"/>
    <w:rsid w:val="008525A4"/>
    <w:rsid w:val="00853D71"/>
    <w:rsid w:val="008550EA"/>
    <w:rsid w:val="00856656"/>
    <w:rsid w:val="00861C28"/>
    <w:rsid w:val="00862648"/>
    <w:rsid w:val="008665E0"/>
    <w:rsid w:val="0086731F"/>
    <w:rsid w:val="00870879"/>
    <w:rsid w:val="00871F5C"/>
    <w:rsid w:val="0087423F"/>
    <w:rsid w:val="0087445F"/>
    <w:rsid w:val="008744DA"/>
    <w:rsid w:val="00877AFF"/>
    <w:rsid w:val="0088226E"/>
    <w:rsid w:val="00882645"/>
    <w:rsid w:val="008826D1"/>
    <w:rsid w:val="008850B1"/>
    <w:rsid w:val="0088590F"/>
    <w:rsid w:val="00890803"/>
    <w:rsid w:val="00891799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78A"/>
    <w:rsid w:val="008A5D3C"/>
    <w:rsid w:val="008A7A04"/>
    <w:rsid w:val="008B1A75"/>
    <w:rsid w:val="008B7FD4"/>
    <w:rsid w:val="008C0B54"/>
    <w:rsid w:val="008C2496"/>
    <w:rsid w:val="008C24F7"/>
    <w:rsid w:val="008C3FD8"/>
    <w:rsid w:val="008C4C85"/>
    <w:rsid w:val="008C55F0"/>
    <w:rsid w:val="008C5F60"/>
    <w:rsid w:val="008C6D08"/>
    <w:rsid w:val="008C7981"/>
    <w:rsid w:val="008D01BD"/>
    <w:rsid w:val="008D0298"/>
    <w:rsid w:val="008D111B"/>
    <w:rsid w:val="008D1E1D"/>
    <w:rsid w:val="008D3FB1"/>
    <w:rsid w:val="008D3FDC"/>
    <w:rsid w:val="008D4A9D"/>
    <w:rsid w:val="008D4ACA"/>
    <w:rsid w:val="008E01B1"/>
    <w:rsid w:val="008E371D"/>
    <w:rsid w:val="008E39AC"/>
    <w:rsid w:val="008E4118"/>
    <w:rsid w:val="008F1BC0"/>
    <w:rsid w:val="009036B6"/>
    <w:rsid w:val="009059DD"/>
    <w:rsid w:val="00910DD2"/>
    <w:rsid w:val="0091218C"/>
    <w:rsid w:val="0091326C"/>
    <w:rsid w:val="0091399C"/>
    <w:rsid w:val="009142E4"/>
    <w:rsid w:val="00922C1A"/>
    <w:rsid w:val="00923929"/>
    <w:rsid w:val="009249D5"/>
    <w:rsid w:val="00925429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6DD3"/>
    <w:rsid w:val="00976DE2"/>
    <w:rsid w:val="00977C18"/>
    <w:rsid w:val="00980B19"/>
    <w:rsid w:val="00980B6C"/>
    <w:rsid w:val="00980BF4"/>
    <w:rsid w:val="009813FE"/>
    <w:rsid w:val="00982B10"/>
    <w:rsid w:val="009831BF"/>
    <w:rsid w:val="009834DC"/>
    <w:rsid w:val="00984898"/>
    <w:rsid w:val="009929C6"/>
    <w:rsid w:val="00992DAA"/>
    <w:rsid w:val="009970ED"/>
    <w:rsid w:val="009973A1"/>
    <w:rsid w:val="00997772"/>
    <w:rsid w:val="009A00A8"/>
    <w:rsid w:val="009A0EB6"/>
    <w:rsid w:val="009A1B3F"/>
    <w:rsid w:val="009A261D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48F6"/>
    <w:rsid w:val="009B62A2"/>
    <w:rsid w:val="009B6BB9"/>
    <w:rsid w:val="009C179C"/>
    <w:rsid w:val="009C38B5"/>
    <w:rsid w:val="009C4886"/>
    <w:rsid w:val="009C7141"/>
    <w:rsid w:val="009D134C"/>
    <w:rsid w:val="009D17FB"/>
    <w:rsid w:val="009D2425"/>
    <w:rsid w:val="009D4DED"/>
    <w:rsid w:val="009E371B"/>
    <w:rsid w:val="009E3BD4"/>
    <w:rsid w:val="009F0559"/>
    <w:rsid w:val="009F1526"/>
    <w:rsid w:val="009F502C"/>
    <w:rsid w:val="009F62B0"/>
    <w:rsid w:val="009F780B"/>
    <w:rsid w:val="00A0387C"/>
    <w:rsid w:val="00A100A2"/>
    <w:rsid w:val="00A122CD"/>
    <w:rsid w:val="00A1308C"/>
    <w:rsid w:val="00A13EFB"/>
    <w:rsid w:val="00A14476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57D0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134B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5275"/>
    <w:rsid w:val="00B10489"/>
    <w:rsid w:val="00B1277A"/>
    <w:rsid w:val="00B13B0F"/>
    <w:rsid w:val="00B14C85"/>
    <w:rsid w:val="00B17C01"/>
    <w:rsid w:val="00B224E6"/>
    <w:rsid w:val="00B244C5"/>
    <w:rsid w:val="00B247E1"/>
    <w:rsid w:val="00B31243"/>
    <w:rsid w:val="00B326A3"/>
    <w:rsid w:val="00B3336C"/>
    <w:rsid w:val="00B34B9F"/>
    <w:rsid w:val="00B3679E"/>
    <w:rsid w:val="00B433C2"/>
    <w:rsid w:val="00B43CC4"/>
    <w:rsid w:val="00B440BC"/>
    <w:rsid w:val="00B4694B"/>
    <w:rsid w:val="00B46C60"/>
    <w:rsid w:val="00B47E93"/>
    <w:rsid w:val="00B55BF2"/>
    <w:rsid w:val="00B56D6D"/>
    <w:rsid w:val="00B578AB"/>
    <w:rsid w:val="00B57E1A"/>
    <w:rsid w:val="00B64D00"/>
    <w:rsid w:val="00B65F0A"/>
    <w:rsid w:val="00B75217"/>
    <w:rsid w:val="00B75E06"/>
    <w:rsid w:val="00B7644D"/>
    <w:rsid w:val="00B76E8F"/>
    <w:rsid w:val="00B81C8A"/>
    <w:rsid w:val="00B82C8C"/>
    <w:rsid w:val="00B84C6D"/>
    <w:rsid w:val="00B85568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22F"/>
    <w:rsid w:val="00BA7A05"/>
    <w:rsid w:val="00BB4034"/>
    <w:rsid w:val="00BB5CC5"/>
    <w:rsid w:val="00BB679D"/>
    <w:rsid w:val="00BC04A9"/>
    <w:rsid w:val="00BC111F"/>
    <w:rsid w:val="00BC18E5"/>
    <w:rsid w:val="00BC391C"/>
    <w:rsid w:val="00BC4869"/>
    <w:rsid w:val="00BC52F7"/>
    <w:rsid w:val="00BC5C0B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0AF8"/>
    <w:rsid w:val="00C0412F"/>
    <w:rsid w:val="00C05754"/>
    <w:rsid w:val="00C05D02"/>
    <w:rsid w:val="00C07526"/>
    <w:rsid w:val="00C11C21"/>
    <w:rsid w:val="00C12591"/>
    <w:rsid w:val="00C14BA2"/>
    <w:rsid w:val="00C214B8"/>
    <w:rsid w:val="00C24743"/>
    <w:rsid w:val="00C27549"/>
    <w:rsid w:val="00C3199D"/>
    <w:rsid w:val="00C343E2"/>
    <w:rsid w:val="00C4285C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0AC1"/>
    <w:rsid w:val="00C70DA8"/>
    <w:rsid w:val="00C76077"/>
    <w:rsid w:val="00C81982"/>
    <w:rsid w:val="00C82CDD"/>
    <w:rsid w:val="00C84193"/>
    <w:rsid w:val="00C845DC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0A28"/>
    <w:rsid w:val="00CB28D2"/>
    <w:rsid w:val="00CB4062"/>
    <w:rsid w:val="00CB4341"/>
    <w:rsid w:val="00CB5F3D"/>
    <w:rsid w:val="00CC0A2F"/>
    <w:rsid w:val="00CC3127"/>
    <w:rsid w:val="00CC5404"/>
    <w:rsid w:val="00CC6205"/>
    <w:rsid w:val="00CC621B"/>
    <w:rsid w:val="00CC7851"/>
    <w:rsid w:val="00CC78E2"/>
    <w:rsid w:val="00CD0497"/>
    <w:rsid w:val="00CD1A67"/>
    <w:rsid w:val="00CD2794"/>
    <w:rsid w:val="00CD3AE0"/>
    <w:rsid w:val="00CE0996"/>
    <w:rsid w:val="00CE60CB"/>
    <w:rsid w:val="00CE716B"/>
    <w:rsid w:val="00CE7B8F"/>
    <w:rsid w:val="00CF0CB2"/>
    <w:rsid w:val="00CF1607"/>
    <w:rsid w:val="00CF21DD"/>
    <w:rsid w:val="00CF27ED"/>
    <w:rsid w:val="00CF3205"/>
    <w:rsid w:val="00CF52D3"/>
    <w:rsid w:val="00D03367"/>
    <w:rsid w:val="00D038F8"/>
    <w:rsid w:val="00D0435B"/>
    <w:rsid w:val="00D04F24"/>
    <w:rsid w:val="00D06C11"/>
    <w:rsid w:val="00D0727D"/>
    <w:rsid w:val="00D10CAC"/>
    <w:rsid w:val="00D110D4"/>
    <w:rsid w:val="00D12203"/>
    <w:rsid w:val="00D126E4"/>
    <w:rsid w:val="00D13D5D"/>
    <w:rsid w:val="00D14B04"/>
    <w:rsid w:val="00D16444"/>
    <w:rsid w:val="00D16F2B"/>
    <w:rsid w:val="00D21002"/>
    <w:rsid w:val="00D2107C"/>
    <w:rsid w:val="00D21AB4"/>
    <w:rsid w:val="00D256A0"/>
    <w:rsid w:val="00D260AF"/>
    <w:rsid w:val="00D27FD0"/>
    <w:rsid w:val="00D31B10"/>
    <w:rsid w:val="00D3334C"/>
    <w:rsid w:val="00D35DAE"/>
    <w:rsid w:val="00D366AC"/>
    <w:rsid w:val="00D41286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2E67"/>
    <w:rsid w:val="00D6558D"/>
    <w:rsid w:val="00D663D3"/>
    <w:rsid w:val="00D70E7C"/>
    <w:rsid w:val="00D70F3F"/>
    <w:rsid w:val="00D77625"/>
    <w:rsid w:val="00D7770E"/>
    <w:rsid w:val="00D85D30"/>
    <w:rsid w:val="00D943E8"/>
    <w:rsid w:val="00D9470E"/>
    <w:rsid w:val="00D95201"/>
    <w:rsid w:val="00D95E72"/>
    <w:rsid w:val="00DA3001"/>
    <w:rsid w:val="00DA3716"/>
    <w:rsid w:val="00DA459A"/>
    <w:rsid w:val="00DA67EB"/>
    <w:rsid w:val="00DA6993"/>
    <w:rsid w:val="00DA6F98"/>
    <w:rsid w:val="00DB039D"/>
    <w:rsid w:val="00DB1D60"/>
    <w:rsid w:val="00DB557B"/>
    <w:rsid w:val="00DB59D2"/>
    <w:rsid w:val="00DB6CFF"/>
    <w:rsid w:val="00DC30D3"/>
    <w:rsid w:val="00DC3318"/>
    <w:rsid w:val="00DC3B4A"/>
    <w:rsid w:val="00DC3C3E"/>
    <w:rsid w:val="00DC6B2A"/>
    <w:rsid w:val="00DC75CC"/>
    <w:rsid w:val="00DD0AA3"/>
    <w:rsid w:val="00DD36DD"/>
    <w:rsid w:val="00DD393A"/>
    <w:rsid w:val="00DD7E42"/>
    <w:rsid w:val="00DE045B"/>
    <w:rsid w:val="00DE096A"/>
    <w:rsid w:val="00DE09B4"/>
    <w:rsid w:val="00DE2E10"/>
    <w:rsid w:val="00DE3428"/>
    <w:rsid w:val="00DE545B"/>
    <w:rsid w:val="00DF01DE"/>
    <w:rsid w:val="00DF532A"/>
    <w:rsid w:val="00E003AC"/>
    <w:rsid w:val="00E01C63"/>
    <w:rsid w:val="00E02635"/>
    <w:rsid w:val="00E036DB"/>
    <w:rsid w:val="00E0389B"/>
    <w:rsid w:val="00E109F5"/>
    <w:rsid w:val="00E14489"/>
    <w:rsid w:val="00E155C3"/>
    <w:rsid w:val="00E16FD7"/>
    <w:rsid w:val="00E209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54A2"/>
    <w:rsid w:val="00E46FD1"/>
    <w:rsid w:val="00E50F64"/>
    <w:rsid w:val="00E51BBF"/>
    <w:rsid w:val="00E54861"/>
    <w:rsid w:val="00E652BA"/>
    <w:rsid w:val="00E70D4B"/>
    <w:rsid w:val="00E76119"/>
    <w:rsid w:val="00E77CB0"/>
    <w:rsid w:val="00E80C5C"/>
    <w:rsid w:val="00E81251"/>
    <w:rsid w:val="00E821B8"/>
    <w:rsid w:val="00E84A1D"/>
    <w:rsid w:val="00E84E8E"/>
    <w:rsid w:val="00E861BF"/>
    <w:rsid w:val="00E863D4"/>
    <w:rsid w:val="00E90149"/>
    <w:rsid w:val="00E90D17"/>
    <w:rsid w:val="00E919B8"/>
    <w:rsid w:val="00E91A0A"/>
    <w:rsid w:val="00E92FD5"/>
    <w:rsid w:val="00E94A91"/>
    <w:rsid w:val="00E9558D"/>
    <w:rsid w:val="00E960F0"/>
    <w:rsid w:val="00EA0280"/>
    <w:rsid w:val="00EA2D49"/>
    <w:rsid w:val="00EA36D2"/>
    <w:rsid w:val="00EA377C"/>
    <w:rsid w:val="00EA526C"/>
    <w:rsid w:val="00EA5E19"/>
    <w:rsid w:val="00EB1307"/>
    <w:rsid w:val="00EB34BF"/>
    <w:rsid w:val="00EB61CF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24F8"/>
    <w:rsid w:val="00EE3721"/>
    <w:rsid w:val="00EE5E21"/>
    <w:rsid w:val="00EF10BA"/>
    <w:rsid w:val="00EF2609"/>
    <w:rsid w:val="00EF6674"/>
    <w:rsid w:val="00F01241"/>
    <w:rsid w:val="00F015C6"/>
    <w:rsid w:val="00F045FE"/>
    <w:rsid w:val="00F05DEF"/>
    <w:rsid w:val="00F06B5E"/>
    <w:rsid w:val="00F076A6"/>
    <w:rsid w:val="00F07D65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031"/>
    <w:rsid w:val="00F3073A"/>
    <w:rsid w:val="00F36D30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317C"/>
    <w:rsid w:val="00F746C6"/>
    <w:rsid w:val="00F74863"/>
    <w:rsid w:val="00F76C46"/>
    <w:rsid w:val="00F82676"/>
    <w:rsid w:val="00F83D25"/>
    <w:rsid w:val="00F87E1B"/>
    <w:rsid w:val="00F91BBC"/>
    <w:rsid w:val="00F9209B"/>
    <w:rsid w:val="00F92BF3"/>
    <w:rsid w:val="00F94310"/>
    <w:rsid w:val="00F94BB8"/>
    <w:rsid w:val="00F9522D"/>
    <w:rsid w:val="00F957A4"/>
    <w:rsid w:val="00F966AF"/>
    <w:rsid w:val="00F96A66"/>
    <w:rsid w:val="00F96E2B"/>
    <w:rsid w:val="00F9709F"/>
    <w:rsid w:val="00F97455"/>
    <w:rsid w:val="00FA4A24"/>
    <w:rsid w:val="00FA7083"/>
    <w:rsid w:val="00FA71C6"/>
    <w:rsid w:val="00FA7E54"/>
    <w:rsid w:val="00FB2676"/>
    <w:rsid w:val="00FB5539"/>
    <w:rsid w:val="00FB575D"/>
    <w:rsid w:val="00FC06EC"/>
    <w:rsid w:val="00FC420A"/>
    <w:rsid w:val="00FD0096"/>
    <w:rsid w:val="00FD1516"/>
    <w:rsid w:val="00FD1E1F"/>
    <w:rsid w:val="00FD2175"/>
    <w:rsid w:val="00FD3609"/>
    <w:rsid w:val="00FD5A8E"/>
    <w:rsid w:val="00FD6FD1"/>
    <w:rsid w:val="00FD7C8D"/>
    <w:rsid w:val="00FE140F"/>
    <w:rsid w:val="00FE1F45"/>
    <w:rsid w:val="00FE4271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sid w:val="00F957A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napToGrid w:val="0"/>
      <w:sz w:val="22"/>
      <w:szCs w:val="22"/>
      <w:lang w:val="de-DE"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957A4"/>
    <w:pPr>
      <w:tabs>
        <w:tab w:val="center" w:pos="4536"/>
        <w:tab w:val="right" w:pos="9072"/>
      </w:tabs>
    </w:pPr>
  </w:style>
  <w:style w:type="paragraph" w:customStyle="1" w:styleId="Einleitung">
    <w:name w:val="Einleitung"/>
    <w:rsid w:val="00F957A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napToGrid w:val="0"/>
      <w:sz w:val="22"/>
      <w:szCs w:val="22"/>
      <w:lang w:val="de-DE" w:eastAsia="ko-KR"/>
    </w:rPr>
  </w:style>
  <w:style w:type="paragraph" w:customStyle="1" w:styleId="Fotohinweis">
    <w:name w:val="Fotohinweis"/>
    <w:basedOn w:val="Normale"/>
    <w:rsid w:val="00F957A4"/>
    <w:pPr>
      <w:jc w:val="right"/>
    </w:pPr>
  </w:style>
  <w:style w:type="paragraph" w:customStyle="1" w:styleId="Bildunterschrift">
    <w:name w:val="Bildunterschrift"/>
    <w:basedOn w:val="Normale"/>
    <w:rsid w:val="00F957A4"/>
    <w:pPr>
      <w:keepNext/>
      <w:keepLines/>
      <w:spacing w:before="240"/>
    </w:pPr>
    <w:rPr>
      <w:b/>
      <w:bCs/>
    </w:rPr>
  </w:style>
  <w:style w:type="paragraph" w:customStyle="1" w:styleId="SubHead">
    <w:name w:val="SubHead"/>
    <w:basedOn w:val="Einleitung"/>
    <w:rsid w:val="00F957A4"/>
  </w:style>
  <w:style w:type="character" w:customStyle="1" w:styleId="tw4winMark">
    <w:name w:val="tw4winMark"/>
    <w:rsid w:val="00F957A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F957A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F957A4"/>
    <w:rPr>
      <w:color w:val="0000FF"/>
    </w:rPr>
  </w:style>
  <w:style w:type="character" w:customStyle="1" w:styleId="tw4winPopup">
    <w:name w:val="tw4winPopup"/>
    <w:rsid w:val="00F957A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F957A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F957A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F957A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F957A4"/>
    <w:rPr>
      <w:rFonts w:ascii="Courier New" w:hAnsi="Courier New"/>
      <w:noProof/>
      <w:color w:val="800000"/>
    </w:rPr>
  </w:style>
  <w:style w:type="numbering" w:customStyle="1" w:styleId="ListemitAufzhlungszeichenDoka">
    <w:name w:val="Liste mit Aufzählungszeichen Doka"/>
    <w:rsid w:val="00F957A4"/>
    <w:pPr>
      <w:numPr>
        <w:numId w:val="30"/>
      </w:numPr>
    </w:pPr>
  </w:style>
  <w:style w:type="paragraph" w:styleId="Testofumetto">
    <w:name w:val="Balloon Text"/>
    <w:basedOn w:val="Normale"/>
    <w:link w:val="TestofumettoCarattere"/>
    <w:locked/>
    <w:rsid w:val="001518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518AF"/>
    <w:rPr>
      <w:rFonts w:ascii="Tahoma" w:hAnsi="Tahoma" w:cs="Tahoma"/>
      <w:snapToGrid w:val="0"/>
      <w:sz w:val="16"/>
      <w:szCs w:val="16"/>
      <w:lang w:val="de-DE" w:eastAsia="ko-KR"/>
    </w:rPr>
  </w:style>
  <w:style w:type="character" w:styleId="Collegamentoipertestuale">
    <w:name w:val="Hyperlink"/>
    <w:locked/>
    <w:rsid w:val="00294C6C"/>
    <w:rPr>
      <w:rFonts w:ascii="Arial" w:hAnsi="Arial" w:cs="Arial"/>
      <w:color w:val="666666"/>
      <w:sz w:val="18"/>
      <w:szCs w:val="18"/>
      <w:u w:val="single"/>
    </w:rPr>
  </w:style>
  <w:style w:type="character" w:styleId="Collegamentovisitato">
    <w:name w:val="FollowedHyperlink"/>
    <w:basedOn w:val="Carpredefinitoparagrafo"/>
    <w:locked/>
    <w:rsid w:val="00294C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legnani@dok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ok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oka.com/web/newsroom/press/index.i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6627</Characters>
  <Application>Microsoft Office Word</Application>
  <DocSecurity>0</DocSecurity>
  <Lines>55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Laura Legnani</cp:lastModifiedBy>
  <cp:revision>5</cp:revision>
  <cp:lastPrinted>2014-02-10T10:55:00Z</cp:lastPrinted>
  <dcterms:created xsi:type="dcterms:W3CDTF">2014-03-26T12:40:00Z</dcterms:created>
  <dcterms:modified xsi:type="dcterms:W3CDTF">2014-03-26T13:07:00Z</dcterms:modified>
</cp:coreProperties>
</file>